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33AF4" w14:textId="77777777" w:rsidR="00541712" w:rsidRDefault="00541712" w:rsidP="0049091F">
      <w:pPr>
        <w:spacing w:after="0" w:line="480" w:lineRule="auto"/>
        <w:jc w:val="center"/>
        <w:rPr>
          <w:b/>
          <w:bCs/>
          <w:sz w:val="24"/>
          <w:szCs w:val="28"/>
        </w:rPr>
      </w:pPr>
    </w:p>
    <w:p w14:paraId="543DA5C3" w14:textId="41A892FF" w:rsidR="00541712" w:rsidRDefault="00541712" w:rsidP="0049091F">
      <w:pPr>
        <w:spacing w:after="0" w:line="480" w:lineRule="auto"/>
        <w:jc w:val="center"/>
        <w:rPr>
          <w:b/>
          <w:bCs/>
          <w:sz w:val="24"/>
          <w:szCs w:val="28"/>
        </w:rPr>
      </w:pPr>
      <w:r w:rsidRPr="00541712">
        <w:rPr>
          <w:rFonts w:hint="eastAsia"/>
          <w:b/>
          <w:bCs/>
          <w:sz w:val="32"/>
          <w:szCs w:val="36"/>
        </w:rPr>
        <w:t>Supporting</w:t>
      </w:r>
      <w:r w:rsidRPr="00541712">
        <w:rPr>
          <w:b/>
          <w:bCs/>
          <w:sz w:val="32"/>
          <w:szCs w:val="36"/>
        </w:rPr>
        <w:t xml:space="preserve"> Information </w:t>
      </w:r>
      <w:r>
        <w:rPr>
          <w:b/>
          <w:bCs/>
          <w:sz w:val="24"/>
          <w:szCs w:val="28"/>
        </w:rPr>
        <w:t>for</w:t>
      </w:r>
    </w:p>
    <w:p w14:paraId="3366B470" w14:textId="31A9A577" w:rsidR="0049091F" w:rsidRDefault="00FC1245" w:rsidP="0049091F">
      <w:pPr>
        <w:spacing w:after="0" w:line="480" w:lineRule="auto"/>
        <w:jc w:val="center"/>
        <w:rPr>
          <w:b/>
          <w:bCs/>
          <w:sz w:val="28"/>
          <w:szCs w:val="32"/>
        </w:rPr>
      </w:pPr>
      <w:r w:rsidRPr="00EA3F5B">
        <w:rPr>
          <w:rFonts w:hint="eastAsia"/>
          <w:b/>
          <w:bCs/>
          <w:sz w:val="24"/>
          <w:szCs w:val="28"/>
        </w:rPr>
        <w:t>P</w:t>
      </w:r>
      <w:r w:rsidRPr="00EA3F5B">
        <w:rPr>
          <w:b/>
          <w:bCs/>
          <w:sz w:val="24"/>
          <w:szCs w:val="28"/>
        </w:rPr>
        <w:t>robing the Distinct Roles of Zeolite-Confined and External Rh Sites by Selective Poisoning in 1-Hexene Hydroformylation Regioselectivity</w:t>
      </w:r>
    </w:p>
    <w:p w14:paraId="5D554CCE" w14:textId="062A2530" w:rsidR="0047232F" w:rsidRPr="0049091F" w:rsidRDefault="00FC1245" w:rsidP="0049091F">
      <w:pPr>
        <w:spacing w:after="0" w:line="480" w:lineRule="auto"/>
        <w:jc w:val="center"/>
        <w:rPr>
          <w:b/>
          <w:bCs/>
          <w:sz w:val="28"/>
          <w:szCs w:val="32"/>
        </w:rPr>
        <w:sectPr w:rsidR="0047232F" w:rsidRPr="0049091F" w:rsidSect="0047232F">
          <w:footerReference w:type="default" r:id="rId7"/>
          <w:footnotePr>
            <w:numFmt w:val="chicago"/>
          </w:footnotePr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bCs/>
          <w:color w:val="000000" w:themeColor="text1"/>
          <w:kern w:val="0"/>
          <w:sz w:val="21"/>
          <w:szCs w:val="21"/>
        </w:rPr>
        <w:t>Rui</w:t>
      </w:r>
      <w:r>
        <w:rPr>
          <w:bCs/>
          <w:color w:val="000000" w:themeColor="text1"/>
          <w:kern w:val="0"/>
          <w:sz w:val="21"/>
          <w:szCs w:val="21"/>
        </w:rPr>
        <w:t xml:space="preserve"> Feng </w:t>
      </w:r>
      <w:r w:rsidRPr="00884197">
        <w:rPr>
          <w:bCs/>
          <w:color w:val="000000" w:themeColor="text1"/>
          <w:kern w:val="0"/>
          <w:sz w:val="21"/>
          <w:szCs w:val="21"/>
          <w:vertAlign w:val="superscript"/>
        </w:rPr>
        <w:t>1,</w:t>
      </w:r>
      <w:r w:rsidR="0047232F" w:rsidRPr="0047232F">
        <w:rPr>
          <w:rStyle w:val="aa"/>
          <w:bCs/>
          <w:color w:val="000000" w:themeColor="text1"/>
          <w:kern w:val="0"/>
          <w:sz w:val="21"/>
          <w:szCs w:val="21"/>
          <w:vertAlign w:val="baseline"/>
        </w:rPr>
        <w:footnoteReference w:id="1"/>
      </w:r>
      <w:r w:rsidR="0047232F">
        <w:rPr>
          <w:bCs/>
          <w:color w:val="000000" w:themeColor="text1"/>
          <w:kern w:val="0"/>
          <w:sz w:val="21"/>
          <w:szCs w:val="21"/>
        </w:rPr>
        <w:t>, Wei Wang</w:t>
      </w:r>
      <w:r w:rsidR="0047232F" w:rsidRPr="00884197">
        <w:rPr>
          <w:bCs/>
          <w:color w:val="000000" w:themeColor="text1"/>
          <w:kern w:val="0"/>
          <w:sz w:val="21"/>
          <w:szCs w:val="21"/>
        </w:rPr>
        <w:t xml:space="preserve"> </w:t>
      </w:r>
      <w:r w:rsidR="0047232F" w:rsidRPr="00884197">
        <w:rPr>
          <w:bCs/>
          <w:color w:val="000000" w:themeColor="text1"/>
          <w:kern w:val="0"/>
          <w:sz w:val="21"/>
          <w:szCs w:val="21"/>
          <w:vertAlign w:val="superscript"/>
        </w:rPr>
        <w:t>1</w:t>
      </w:r>
      <w:r w:rsidR="0047232F" w:rsidRPr="00884197">
        <w:rPr>
          <w:bCs/>
          <w:color w:val="000000" w:themeColor="text1"/>
          <w:kern w:val="0"/>
          <w:sz w:val="21"/>
          <w:szCs w:val="21"/>
        </w:rPr>
        <w:t>,</w:t>
      </w:r>
      <w:r w:rsidR="0047232F">
        <w:rPr>
          <w:bCs/>
          <w:color w:val="000000" w:themeColor="text1"/>
          <w:kern w:val="0"/>
          <w:sz w:val="21"/>
          <w:szCs w:val="21"/>
        </w:rPr>
        <w:t xml:space="preserve"> </w:t>
      </w:r>
      <w:r w:rsidR="0047232F" w:rsidRPr="00884197">
        <w:rPr>
          <w:bCs/>
          <w:color w:val="000000" w:themeColor="text1"/>
          <w:kern w:val="0"/>
          <w:sz w:val="21"/>
          <w:szCs w:val="21"/>
        </w:rPr>
        <w:t>Tianbo</w:t>
      </w:r>
      <w:r w:rsidR="0047232F">
        <w:rPr>
          <w:bCs/>
          <w:color w:val="000000" w:themeColor="text1"/>
          <w:kern w:val="0"/>
          <w:sz w:val="21"/>
          <w:szCs w:val="21"/>
        </w:rPr>
        <w:t xml:space="preserve"> Li</w:t>
      </w:r>
      <w:r w:rsidR="0047232F" w:rsidRPr="00884197">
        <w:rPr>
          <w:bCs/>
          <w:color w:val="000000" w:themeColor="text1"/>
          <w:kern w:val="0"/>
          <w:sz w:val="21"/>
          <w:szCs w:val="21"/>
        </w:rPr>
        <w:t xml:space="preserve"> </w:t>
      </w:r>
      <w:r w:rsidR="0047232F" w:rsidRPr="00884197">
        <w:rPr>
          <w:bCs/>
          <w:color w:val="000000" w:themeColor="text1"/>
          <w:kern w:val="0"/>
          <w:sz w:val="21"/>
          <w:szCs w:val="21"/>
          <w:vertAlign w:val="superscript"/>
        </w:rPr>
        <w:t>1</w:t>
      </w:r>
      <w:r w:rsidR="0047232F" w:rsidRPr="00884197">
        <w:rPr>
          <w:bCs/>
          <w:color w:val="000000" w:themeColor="text1"/>
          <w:kern w:val="0"/>
          <w:sz w:val="21"/>
          <w:szCs w:val="21"/>
        </w:rPr>
        <w:t>，</w:t>
      </w:r>
      <w:r w:rsidR="0047232F">
        <w:rPr>
          <w:rFonts w:hint="eastAsia"/>
          <w:bCs/>
          <w:color w:val="000000" w:themeColor="text1"/>
          <w:kern w:val="0"/>
          <w:sz w:val="21"/>
          <w:szCs w:val="21"/>
        </w:rPr>
        <w:t>F</w:t>
      </w:r>
      <w:r w:rsidR="0047232F">
        <w:rPr>
          <w:bCs/>
          <w:color w:val="000000" w:themeColor="text1"/>
          <w:kern w:val="0"/>
          <w:sz w:val="21"/>
          <w:szCs w:val="21"/>
        </w:rPr>
        <w:t xml:space="preserve">eifei Yang </w:t>
      </w:r>
      <w:r w:rsidR="0047232F">
        <w:rPr>
          <w:bCs/>
          <w:color w:val="000000" w:themeColor="text1"/>
          <w:kern w:val="0"/>
          <w:sz w:val="21"/>
          <w:szCs w:val="21"/>
          <w:vertAlign w:val="superscript"/>
        </w:rPr>
        <w:t>1</w:t>
      </w:r>
      <w:r w:rsidR="0047232F">
        <w:rPr>
          <w:bCs/>
          <w:color w:val="000000" w:themeColor="text1"/>
          <w:kern w:val="0"/>
          <w:sz w:val="21"/>
          <w:szCs w:val="21"/>
        </w:rPr>
        <w:t xml:space="preserve">, </w:t>
      </w:r>
      <w:r w:rsidR="0047232F" w:rsidRPr="00884197">
        <w:rPr>
          <w:bCs/>
          <w:color w:val="000000" w:themeColor="text1"/>
          <w:kern w:val="0"/>
          <w:sz w:val="21"/>
          <w:szCs w:val="21"/>
        </w:rPr>
        <w:t>Xiaoyan</w:t>
      </w:r>
      <w:r w:rsidR="0047232F">
        <w:rPr>
          <w:bCs/>
          <w:color w:val="000000" w:themeColor="text1"/>
          <w:kern w:val="0"/>
          <w:sz w:val="21"/>
          <w:szCs w:val="21"/>
        </w:rPr>
        <w:t xml:space="preserve"> Hu</w:t>
      </w:r>
      <w:r w:rsidR="0047232F" w:rsidRPr="00884197">
        <w:rPr>
          <w:bCs/>
          <w:color w:val="000000" w:themeColor="text1"/>
          <w:kern w:val="0"/>
          <w:sz w:val="21"/>
          <w:szCs w:val="21"/>
        </w:rPr>
        <w:t xml:space="preserve"> </w:t>
      </w:r>
      <w:r w:rsidR="0047232F" w:rsidRPr="00884197">
        <w:rPr>
          <w:bCs/>
          <w:color w:val="000000" w:themeColor="text1"/>
          <w:kern w:val="0"/>
          <w:sz w:val="21"/>
          <w:szCs w:val="21"/>
          <w:vertAlign w:val="superscript"/>
        </w:rPr>
        <w:t>1</w:t>
      </w:r>
      <w:r w:rsidR="0047232F">
        <w:rPr>
          <w:rFonts w:hint="eastAsia"/>
          <w:bCs/>
          <w:color w:val="000000" w:themeColor="text1"/>
          <w:kern w:val="0"/>
          <w:sz w:val="21"/>
          <w:szCs w:val="21"/>
        </w:rPr>
        <w:t>,</w:t>
      </w:r>
      <w:r w:rsidR="0047232F">
        <w:rPr>
          <w:bCs/>
          <w:color w:val="000000" w:themeColor="text1"/>
          <w:kern w:val="0"/>
          <w:sz w:val="21"/>
          <w:szCs w:val="21"/>
        </w:rPr>
        <w:t xml:space="preserve"> </w:t>
      </w:r>
      <w:r w:rsidR="0047232F" w:rsidRPr="00884197">
        <w:rPr>
          <w:bCs/>
          <w:color w:val="000000" w:themeColor="text1"/>
          <w:kern w:val="0"/>
          <w:sz w:val="21"/>
          <w:szCs w:val="21"/>
        </w:rPr>
        <w:t>Xinlong</w:t>
      </w:r>
      <w:r w:rsidR="0047232F">
        <w:rPr>
          <w:bCs/>
          <w:color w:val="000000" w:themeColor="text1"/>
          <w:kern w:val="0"/>
          <w:sz w:val="21"/>
          <w:szCs w:val="21"/>
        </w:rPr>
        <w:t xml:space="preserve"> Yan</w:t>
      </w:r>
      <w:r w:rsidR="0049091F">
        <w:rPr>
          <w:bCs/>
          <w:color w:val="000000" w:themeColor="text1"/>
          <w:kern w:val="0"/>
          <w:sz w:val="21"/>
          <w:szCs w:val="21"/>
        </w:rPr>
        <w:t xml:space="preserve"> </w:t>
      </w:r>
      <w:r w:rsidR="0047232F" w:rsidRPr="00884197">
        <w:rPr>
          <w:bCs/>
          <w:color w:val="000000" w:themeColor="text1"/>
          <w:kern w:val="0"/>
          <w:sz w:val="21"/>
          <w:szCs w:val="21"/>
          <w:vertAlign w:val="superscript"/>
        </w:rPr>
        <w:t>1</w:t>
      </w:r>
      <w:r w:rsidR="0047232F">
        <w:rPr>
          <w:rFonts w:hint="eastAsia"/>
          <w:bCs/>
          <w:color w:val="000000" w:themeColor="text1"/>
          <w:kern w:val="0"/>
          <w:sz w:val="21"/>
          <w:szCs w:val="21"/>
        </w:rPr>
        <w:t>,</w:t>
      </w:r>
      <w:r w:rsidR="0047232F">
        <w:rPr>
          <w:bCs/>
          <w:color w:val="000000" w:themeColor="text1"/>
          <w:kern w:val="0"/>
          <w:sz w:val="21"/>
          <w:szCs w:val="21"/>
        </w:rPr>
        <w:t xml:space="preserve"> </w:t>
      </w:r>
      <w:proofErr w:type="spellStart"/>
      <w:r w:rsidR="00FE0C10">
        <w:rPr>
          <w:bCs/>
          <w:color w:val="000000" w:themeColor="text1"/>
          <w:kern w:val="0"/>
          <w:sz w:val="21"/>
          <w:szCs w:val="21"/>
        </w:rPr>
        <w:t>Lianming</w:t>
      </w:r>
      <w:proofErr w:type="spellEnd"/>
      <w:r w:rsidR="00FE0C10">
        <w:rPr>
          <w:bCs/>
          <w:color w:val="000000" w:themeColor="text1"/>
          <w:kern w:val="0"/>
          <w:sz w:val="21"/>
          <w:szCs w:val="21"/>
        </w:rPr>
        <w:t xml:space="preserve"> Zhao </w:t>
      </w:r>
      <w:r w:rsidR="00FE0C10">
        <w:rPr>
          <w:bCs/>
          <w:color w:val="000000" w:themeColor="text1"/>
          <w:kern w:val="0"/>
          <w:sz w:val="21"/>
          <w:szCs w:val="21"/>
          <w:vertAlign w:val="superscript"/>
        </w:rPr>
        <w:t>2</w:t>
      </w:r>
      <w:r w:rsidR="00FE0C10">
        <w:rPr>
          <w:bCs/>
          <w:color w:val="000000" w:themeColor="text1"/>
          <w:kern w:val="0"/>
          <w:sz w:val="21"/>
          <w:szCs w:val="21"/>
        </w:rPr>
        <w:t xml:space="preserve">, </w:t>
      </w:r>
      <w:r w:rsidR="0047232F">
        <w:rPr>
          <w:bCs/>
          <w:color w:val="000000" w:themeColor="text1"/>
          <w:kern w:val="0"/>
          <w:sz w:val="21"/>
          <w:szCs w:val="21"/>
        </w:rPr>
        <w:t>Shijian Lu</w:t>
      </w:r>
      <w:r w:rsidR="0049091F">
        <w:rPr>
          <w:bCs/>
          <w:color w:val="000000" w:themeColor="text1"/>
          <w:kern w:val="0"/>
          <w:sz w:val="21"/>
          <w:szCs w:val="21"/>
          <w:vertAlign w:val="superscript"/>
        </w:rPr>
        <w:t xml:space="preserve"> </w:t>
      </w:r>
      <w:r w:rsidR="00FE0C10">
        <w:rPr>
          <w:bCs/>
          <w:color w:val="000000" w:themeColor="text1"/>
          <w:kern w:val="0"/>
          <w:sz w:val="21"/>
          <w:szCs w:val="21"/>
          <w:vertAlign w:val="superscript"/>
        </w:rPr>
        <w:t>3</w:t>
      </w:r>
      <w:r w:rsidR="0047232F">
        <w:rPr>
          <w:bCs/>
          <w:color w:val="000000" w:themeColor="text1"/>
          <w:kern w:val="0"/>
          <w:sz w:val="21"/>
          <w:szCs w:val="21"/>
          <w:vertAlign w:val="superscript"/>
        </w:rPr>
        <w:t>,</w:t>
      </w:r>
      <w:r w:rsidR="0047232F" w:rsidRPr="0047232F">
        <w:rPr>
          <w:rStyle w:val="aa"/>
          <w:bCs/>
          <w:color w:val="000000" w:themeColor="text1"/>
          <w:kern w:val="0"/>
          <w:sz w:val="21"/>
          <w:szCs w:val="21"/>
          <w:vertAlign w:val="baseline"/>
        </w:rPr>
        <w:footnoteReference w:id="2"/>
      </w:r>
    </w:p>
    <w:p w14:paraId="5DE37766" w14:textId="59117965" w:rsidR="00FC1245" w:rsidRDefault="00FC1245" w:rsidP="00FC1245">
      <w:pPr>
        <w:spacing w:after="0" w:line="480" w:lineRule="auto"/>
        <w:jc w:val="center"/>
        <w:rPr>
          <w:bCs/>
          <w:i/>
          <w:color w:val="000000" w:themeColor="text1"/>
          <w:kern w:val="0"/>
          <w:sz w:val="21"/>
          <w:szCs w:val="21"/>
        </w:rPr>
      </w:pPr>
      <w:r w:rsidRPr="00884197">
        <w:rPr>
          <w:rFonts w:hint="eastAsia"/>
          <w:bCs/>
          <w:iCs/>
          <w:color w:val="000000" w:themeColor="text1"/>
          <w:kern w:val="0"/>
          <w:sz w:val="21"/>
          <w:szCs w:val="21"/>
        </w:rPr>
        <w:t xml:space="preserve">1. </w:t>
      </w:r>
      <w:r w:rsidRPr="00884197">
        <w:rPr>
          <w:bCs/>
          <w:i/>
          <w:color w:val="000000" w:themeColor="text1"/>
          <w:kern w:val="0"/>
          <w:sz w:val="21"/>
          <w:szCs w:val="21"/>
        </w:rPr>
        <w:t>China University of Mining and Technology</w:t>
      </w:r>
      <w:r w:rsidRPr="00884197">
        <w:rPr>
          <w:rFonts w:hint="eastAsia"/>
          <w:bCs/>
          <w:i/>
          <w:color w:val="000000" w:themeColor="text1"/>
          <w:kern w:val="0"/>
          <w:sz w:val="21"/>
          <w:szCs w:val="21"/>
        </w:rPr>
        <w:t>; School of Chemical Engineering,</w:t>
      </w:r>
      <w:r w:rsidRPr="00884197">
        <w:rPr>
          <w:rFonts w:hint="eastAsia"/>
          <w:bCs/>
          <w:iCs/>
          <w:color w:val="000000" w:themeColor="text1"/>
          <w:kern w:val="0"/>
          <w:sz w:val="21"/>
          <w:szCs w:val="21"/>
        </w:rPr>
        <w:t xml:space="preserve"> </w:t>
      </w:r>
      <w:r w:rsidRPr="00884197">
        <w:rPr>
          <w:bCs/>
          <w:i/>
          <w:color w:val="000000" w:themeColor="text1"/>
          <w:kern w:val="0"/>
          <w:sz w:val="21"/>
          <w:szCs w:val="21"/>
        </w:rPr>
        <w:t>Xuzhou 221116</w:t>
      </w:r>
    </w:p>
    <w:p w14:paraId="06806633" w14:textId="77777777" w:rsidR="00FE0C10" w:rsidRPr="00884197" w:rsidRDefault="00FE0C10" w:rsidP="00FE0C10">
      <w:pPr>
        <w:spacing w:after="0" w:line="480" w:lineRule="auto"/>
        <w:jc w:val="center"/>
        <w:rPr>
          <w:rFonts w:hint="eastAsia"/>
          <w:bCs/>
          <w:iCs/>
          <w:color w:val="000000" w:themeColor="text1"/>
          <w:kern w:val="0"/>
          <w:sz w:val="21"/>
          <w:szCs w:val="21"/>
        </w:rPr>
      </w:pPr>
      <w:r>
        <w:rPr>
          <w:rFonts w:hint="eastAsia"/>
          <w:bCs/>
          <w:i/>
          <w:color w:val="000000" w:themeColor="text1"/>
          <w:kern w:val="0"/>
          <w:sz w:val="21"/>
          <w:szCs w:val="21"/>
        </w:rPr>
        <w:t>2</w:t>
      </w:r>
      <w:r>
        <w:rPr>
          <w:bCs/>
          <w:i/>
          <w:color w:val="000000" w:themeColor="text1"/>
          <w:kern w:val="0"/>
          <w:sz w:val="21"/>
          <w:szCs w:val="21"/>
        </w:rPr>
        <w:t>. China University of Petroleum, School of Science, Qingdao, 266580</w:t>
      </w:r>
    </w:p>
    <w:p w14:paraId="7A68793D" w14:textId="33EBABD5" w:rsidR="00FC1245" w:rsidRPr="00884197" w:rsidRDefault="00FE0C10" w:rsidP="00FC1245">
      <w:pPr>
        <w:spacing w:after="0" w:line="480" w:lineRule="auto"/>
        <w:jc w:val="center"/>
        <w:rPr>
          <w:bCs/>
          <w:iCs/>
          <w:color w:val="000000" w:themeColor="text1"/>
          <w:kern w:val="0"/>
          <w:sz w:val="21"/>
          <w:szCs w:val="21"/>
        </w:rPr>
      </w:pPr>
      <w:r>
        <w:rPr>
          <w:bCs/>
          <w:iCs/>
          <w:color w:val="000000" w:themeColor="text1"/>
          <w:kern w:val="0"/>
          <w:sz w:val="21"/>
          <w:szCs w:val="21"/>
        </w:rPr>
        <w:t>3</w:t>
      </w:r>
      <w:r w:rsidR="00FC1245" w:rsidRPr="00884197">
        <w:rPr>
          <w:rFonts w:hint="eastAsia"/>
          <w:bCs/>
          <w:iCs/>
          <w:color w:val="000000" w:themeColor="text1"/>
          <w:kern w:val="0"/>
          <w:sz w:val="21"/>
          <w:szCs w:val="21"/>
        </w:rPr>
        <w:t xml:space="preserve">. </w:t>
      </w:r>
      <w:r w:rsidR="00FC1245" w:rsidRPr="00884197">
        <w:rPr>
          <w:bCs/>
          <w:i/>
          <w:color w:val="000000" w:themeColor="text1"/>
          <w:kern w:val="0"/>
          <w:sz w:val="21"/>
          <w:szCs w:val="21"/>
        </w:rPr>
        <w:t>China University of Mining and Technology</w:t>
      </w:r>
      <w:r w:rsidR="00FC1245" w:rsidRPr="00884197">
        <w:rPr>
          <w:rFonts w:hint="eastAsia"/>
          <w:bCs/>
          <w:i/>
          <w:color w:val="000000" w:themeColor="text1"/>
          <w:kern w:val="0"/>
          <w:sz w:val="21"/>
          <w:szCs w:val="21"/>
        </w:rPr>
        <w:t>; Carbon Neutrality Institute,</w:t>
      </w:r>
      <w:r w:rsidR="00FC1245" w:rsidRPr="00884197">
        <w:rPr>
          <w:rFonts w:hint="eastAsia"/>
          <w:bCs/>
          <w:iCs/>
          <w:color w:val="000000" w:themeColor="text1"/>
          <w:kern w:val="0"/>
          <w:sz w:val="21"/>
          <w:szCs w:val="21"/>
        </w:rPr>
        <w:t xml:space="preserve"> </w:t>
      </w:r>
      <w:r w:rsidR="00FC1245" w:rsidRPr="00884197">
        <w:rPr>
          <w:bCs/>
          <w:i/>
          <w:color w:val="000000" w:themeColor="text1"/>
          <w:kern w:val="0"/>
          <w:sz w:val="21"/>
          <w:szCs w:val="21"/>
        </w:rPr>
        <w:t>Xuzhou 221116</w:t>
      </w:r>
    </w:p>
    <w:p w14:paraId="661CB929" w14:textId="65DA9119" w:rsidR="00F72F4B" w:rsidRDefault="00F72F4B"/>
    <w:p w14:paraId="0CFD5D3A" w14:textId="6EEE382F" w:rsidR="00FC1245" w:rsidRDefault="00FC1245"/>
    <w:p w14:paraId="43EE532B" w14:textId="28F96846" w:rsidR="00FC1245" w:rsidRDefault="00FC1245"/>
    <w:p w14:paraId="1F92DFCD" w14:textId="77777777" w:rsidR="00887DA0" w:rsidRDefault="00887DA0">
      <w:pPr>
        <w:sectPr w:rsidR="00887DA0" w:rsidSect="0047232F">
          <w:type w:val="continuous"/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14:paraId="2438561C" w14:textId="77777777" w:rsidR="000A3577" w:rsidRPr="00DC36C9" w:rsidRDefault="000A3577" w:rsidP="005C1002">
      <w:pPr>
        <w:spacing w:line="360" w:lineRule="auto"/>
        <w:jc w:val="both"/>
        <w:rPr>
          <w:b/>
          <w:color w:val="000000" w:themeColor="text1"/>
          <w:sz w:val="21"/>
          <w:szCs w:val="22"/>
          <w:lang w:val="en-GB"/>
        </w:rPr>
      </w:pPr>
      <w:bookmarkStart w:id="0" w:name="_Hlk208135333"/>
      <w:r w:rsidRPr="00DC36C9">
        <w:rPr>
          <w:b/>
          <w:color w:val="000000" w:themeColor="text1"/>
          <w:sz w:val="21"/>
          <w:szCs w:val="22"/>
          <w:lang w:val="en-GB"/>
        </w:rPr>
        <w:lastRenderedPageBreak/>
        <w:t>Computational methods</w:t>
      </w:r>
    </w:p>
    <w:p w14:paraId="204C3C9A" w14:textId="77777777" w:rsidR="000A3577" w:rsidRPr="00DC36C9" w:rsidRDefault="000A3577" w:rsidP="005C1002">
      <w:pPr>
        <w:spacing w:line="360" w:lineRule="auto"/>
        <w:jc w:val="both"/>
        <w:rPr>
          <w:color w:val="000000" w:themeColor="text1"/>
          <w:sz w:val="21"/>
          <w:szCs w:val="22"/>
          <w:lang w:val="en-GB"/>
        </w:rPr>
      </w:pPr>
      <w:r w:rsidRPr="00DC36C9">
        <w:rPr>
          <w:color w:val="000000" w:themeColor="text1"/>
          <w:sz w:val="21"/>
          <w:szCs w:val="22"/>
          <w:lang w:val="en-GB"/>
        </w:rPr>
        <w:t xml:space="preserve">DFT calculations were performed using the </w:t>
      </w:r>
      <w:proofErr w:type="spellStart"/>
      <w:r w:rsidRPr="00DC36C9">
        <w:rPr>
          <w:color w:val="000000" w:themeColor="text1"/>
          <w:sz w:val="21"/>
          <w:szCs w:val="22"/>
          <w:lang w:val="en-GB"/>
        </w:rPr>
        <w:t>DMol</w:t>
      </w:r>
      <w:r w:rsidRPr="00DC36C9">
        <w:rPr>
          <w:color w:val="000000" w:themeColor="text1"/>
          <w:sz w:val="21"/>
          <w:szCs w:val="22"/>
          <w:vertAlign w:val="superscript"/>
          <w:lang w:val="en-GB"/>
        </w:rPr>
        <w:t>3</w:t>
      </w:r>
      <w:proofErr w:type="spellEnd"/>
      <w:r w:rsidRPr="00DC36C9">
        <w:rPr>
          <w:color w:val="000000" w:themeColor="text1"/>
          <w:sz w:val="21"/>
          <w:szCs w:val="22"/>
          <w:lang w:val="en-GB"/>
        </w:rPr>
        <w:t xml:space="preserve"> module in Materials Studio software.</w:t>
      </w:r>
      <w:r w:rsidRPr="00DC36C9">
        <w:rPr>
          <w:color w:val="000000" w:themeColor="text1"/>
          <w:sz w:val="21"/>
          <w:szCs w:val="22"/>
          <w:vertAlign w:val="superscript"/>
          <w:lang w:val="en-GB"/>
        </w:rPr>
        <w:t>[1]</w:t>
      </w:r>
      <w:r w:rsidRPr="00DC36C9">
        <w:rPr>
          <w:color w:val="000000" w:themeColor="text1"/>
          <w:sz w:val="21"/>
          <w:szCs w:val="22"/>
          <w:lang w:val="en-GB"/>
        </w:rPr>
        <w:t xml:space="preserve"> The exchange correlation energy was calculated using the generalized gradient approximation (</w:t>
      </w:r>
      <w:proofErr w:type="spellStart"/>
      <w:r w:rsidRPr="00DC36C9">
        <w:rPr>
          <w:color w:val="000000" w:themeColor="text1"/>
          <w:sz w:val="21"/>
          <w:szCs w:val="22"/>
          <w:lang w:val="en-GB"/>
        </w:rPr>
        <w:t>GGA</w:t>
      </w:r>
      <w:proofErr w:type="spellEnd"/>
      <w:r w:rsidRPr="00DC36C9">
        <w:rPr>
          <w:color w:val="000000" w:themeColor="text1"/>
          <w:sz w:val="21"/>
          <w:szCs w:val="22"/>
          <w:lang w:val="en-GB"/>
        </w:rPr>
        <w:t>) with the Perdew–Burke–Ernzerhof (PBE) functional.</w:t>
      </w:r>
      <w:r w:rsidRPr="00DC36C9">
        <w:rPr>
          <w:color w:val="000000" w:themeColor="text1"/>
          <w:sz w:val="21"/>
          <w:szCs w:val="22"/>
          <w:vertAlign w:val="superscript"/>
          <w:lang w:val="en-GB"/>
        </w:rPr>
        <w:t>[2]</w:t>
      </w:r>
      <w:r w:rsidRPr="00DC36C9">
        <w:rPr>
          <w:color w:val="000000" w:themeColor="text1"/>
          <w:sz w:val="21"/>
          <w:szCs w:val="22"/>
          <w:lang w:val="en-GB"/>
        </w:rPr>
        <w:t xml:space="preserve"> Long-range dispersive interactions were corrected using Grimme’s PBE-</w:t>
      </w:r>
      <w:proofErr w:type="spellStart"/>
      <w:r w:rsidRPr="00DC36C9">
        <w:rPr>
          <w:color w:val="000000" w:themeColor="text1"/>
          <w:sz w:val="21"/>
          <w:szCs w:val="22"/>
          <w:lang w:val="en-GB"/>
        </w:rPr>
        <w:t>D3</w:t>
      </w:r>
      <w:proofErr w:type="spellEnd"/>
      <w:r w:rsidRPr="00DC36C9">
        <w:rPr>
          <w:color w:val="000000" w:themeColor="text1"/>
          <w:sz w:val="21"/>
          <w:szCs w:val="22"/>
          <w:lang w:val="en-GB"/>
        </w:rPr>
        <w:t xml:space="preserve"> method, with deviations typically within 10% of CCSD(T) reference values for both molecular and solid systems.</w:t>
      </w:r>
      <w:r w:rsidRPr="00DC36C9">
        <w:rPr>
          <w:color w:val="000000" w:themeColor="text1"/>
          <w:sz w:val="21"/>
          <w:szCs w:val="22"/>
          <w:vertAlign w:val="superscript"/>
          <w:lang w:val="en-GB"/>
        </w:rPr>
        <w:t>[3]</w:t>
      </w:r>
      <w:r w:rsidRPr="00DC36C9">
        <w:rPr>
          <w:color w:val="000000" w:themeColor="text1"/>
          <w:sz w:val="21"/>
          <w:szCs w:val="22"/>
          <w:lang w:val="en-GB"/>
        </w:rPr>
        <w:t xml:space="preserve"> To account for relativistic effects, the density functional semi-core pseudopotential (</w:t>
      </w:r>
      <w:proofErr w:type="spellStart"/>
      <w:r w:rsidRPr="00DC36C9">
        <w:rPr>
          <w:color w:val="000000" w:themeColor="text1"/>
          <w:sz w:val="21"/>
          <w:szCs w:val="22"/>
          <w:lang w:val="en-GB"/>
        </w:rPr>
        <w:t>DSPP</w:t>
      </w:r>
      <w:proofErr w:type="spellEnd"/>
      <w:r w:rsidRPr="00DC36C9">
        <w:rPr>
          <w:color w:val="000000" w:themeColor="text1"/>
          <w:sz w:val="21"/>
          <w:szCs w:val="22"/>
          <w:lang w:val="en-GB"/>
        </w:rPr>
        <w:t>) method was employed.</w:t>
      </w:r>
      <w:r w:rsidRPr="00DC36C9">
        <w:rPr>
          <w:color w:val="000000" w:themeColor="text1"/>
          <w:sz w:val="21"/>
          <w:szCs w:val="22"/>
          <w:vertAlign w:val="superscript"/>
          <w:lang w:val="en-GB"/>
        </w:rPr>
        <w:t>[4]</w:t>
      </w:r>
      <w:r w:rsidRPr="00DC36C9">
        <w:rPr>
          <w:color w:val="000000" w:themeColor="text1"/>
          <w:sz w:val="21"/>
          <w:szCs w:val="22"/>
          <w:lang w:val="en-GB"/>
        </w:rPr>
        <w:t xml:space="preserve"> Double numerical plus polarization (DNP) basis sets augmented with diffuse polarization functions were selected as the basis set for all calculations.</w:t>
      </w:r>
      <w:bookmarkStart w:id="1" w:name="_Hlk205378265"/>
      <w:r w:rsidRPr="00DC36C9">
        <w:rPr>
          <w:color w:val="000000" w:themeColor="text1"/>
          <w:sz w:val="21"/>
          <w:szCs w:val="22"/>
          <w:lang w:val="en-GB"/>
        </w:rPr>
        <w:t xml:space="preserve"> </w:t>
      </w:r>
      <w:bookmarkEnd w:id="1"/>
      <w:r w:rsidRPr="00DC36C9">
        <w:rPr>
          <w:color w:val="000000" w:themeColor="text1"/>
          <w:sz w:val="21"/>
          <w:szCs w:val="22"/>
          <w:lang w:val="en-GB"/>
        </w:rPr>
        <w:t>Fermi smearing of 0.005 H</w:t>
      </w:r>
      <w:r w:rsidRPr="00DC36C9">
        <w:rPr>
          <w:rFonts w:hint="eastAsia"/>
          <w:color w:val="000000" w:themeColor="text1"/>
          <w:sz w:val="21"/>
          <w:szCs w:val="22"/>
          <w:lang w:val="en-GB"/>
        </w:rPr>
        <w:t>a</w:t>
      </w:r>
      <w:r w:rsidRPr="00DC36C9">
        <w:rPr>
          <w:color w:val="000000" w:themeColor="text1"/>
          <w:sz w:val="21"/>
          <w:szCs w:val="22"/>
          <w:lang w:val="en-GB"/>
        </w:rPr>
        <w:t xml:space="preserve"> w</w:t>
      </w:r>
      <w:r w:rsidRPr="00DC36C9">
        <w:rPr>
          <w:rFonts w:hint="eastAsia"/>
          <w:color w:val="000000" w:themeColor="text1"/>
          <w:sz w:val="21"/>
          <w:szCs w:val="22"/>
          <w:lang w:val="en-GB"/>
        </w:rPr>
        <w:t>as</w:t>
      </w:r>
      <w:r w:rsidRPr="00DC36C9">
        <w:rPr>
          <w:color w:val="000000" w:themeColor="text1"/>
          <w:sz w:val="21"/>
          <w:szCs w:val="22"/>
          <w:lang w:val="en-GB"/>
        </w:rPr>
        <w:t xml:space="preserve"> applied to ensure numerical accuracy and convergence. </w:t>
      </w:r>
      <w:bookmarkStart w:id="2" w:name="_Hlk207630521"/>
      <w:r w:rsidRPr="00DC36C9">
        <w:rPr>
          <w:color w:val="000000" w:themeColor="text1"/>
          <w:sz w:val="21"/>
          <w:szCs w:val="22"/>
          <w:lang w:val="en-GB"/>
        </w:rPr>
        <w:t xml:space="preserve">Based on the convergence tests, the </w:t>
      </w:r>
      <w:r w:rsidRPr="00DC36C9">
        <w:rPr>
          <w:rFonts w:hint="eastAsia"/>
          <w:color w:val="000000" w:themeColor="text1"/>
          <w:sz w:val="21"/>
          <w:szCs w:val="22"/>
          <w:lang w:val="en-GB"/>
        </w:rPr>
        <w:t>global</w:t>
      </w:r>
      <w:r w:rsidRPr="00DC36C9">
        <w:rPr>
          <w:color w:val="000000" w:themeColor="text1"/>
          <w:sz w:val="21"/>
          <w:szCs w:val="22"/>
          <w:lang w:val="en-GB"/>
        </w:rPr>
        <w:t xml:space="preserve"> </w:t>
      </w:r>
      <w:r w:rsidRPr="00DC36C9">
        <w:rPr>
          <w:rFonts w:hint="eastAsia"/>
          <w:color w:val="000000" w:themeColor="text1"/>
          <w:sz w:val="21"/>
          <w:szCs w:val="22"/>
          <w:lang w:val="en-GB"/>
        </w:rPr>
        <w:t>o</w:t>
      </w:r>
      <w:r w:rsidRPr="00DC36C9">
        <w:rPr>
          <w:color w:val="000000" w:themeColor="text1"/>
          <w:sz w:val="21"/>
          <w:szCs w:val="22"/>
          <w:lang w:val="en-GB"/>
        </w:rPr>
        <w:t xml:space="preserve">rbital </w:t>
      </w:r>
      <w:proofErr w:type="spellStart"/>
      <w:r w:rsidRPr="00DC36C9">
        <w:rPr>
          <w:rFonts w:hint="eastAsia"/>
          <w:color w:val="000000" w:themeColor="text1"/>
          <w:sz w:val="21"/>
          <w:szCs w:val="22"/>
          <w:lang w:val="en-GB"/>
        </w:rPr>
        <w:t>c</w:t>
      </w:r>
      <w:r w:rsidRPr="00DC36C9">
        <w:rPr>
          <w:color w:val="000000" w:themeColor="text1"/>
          <w:sz w:val="21"/>
          <w:szCs w:val="22"/>
          <w:lang w:val="en-GB"/>
        </w:rPr>
        <w:t>utoff</w:t>
      </w:r>
      <w:proofErr w:type="spellEnd"/>
      <w:r w:rsidRPr="00DC36C9">
        <w:rPr>
          <w:color w:val="000000" w:themeColor="text1"/>
          <w:sz w:val="21"/>
          <w:szCs w:val="22"/>
          <w:lang w:val="en-GB"/>
        </w:rPr>
        <w:t xml:space="preserve"> </w:t>
      </w:r>
      <w:r w:rsidRPr="00DC36C9">
        <w:rPr>
          <w:rFonts w:hint="eastAsia"/>
          <w:color w:val="000000" w:themeColor="text1"/>
          <w:sz w:val="21"/>
          <w:szCs w:val="22"/>
          <w:lang w:val="en-GB"/>
        </w:rPr>
        <w:t>r</w:t>
      </w:r>
      <w:r w:rsidRPr="00DC36C9">
        <w:rPr>
          <w:color w:val="000000" w:themeColor="text1"/>
          <w:sz w:val="21"/>
          <w:szCs w:val="22"/>
          <w:lang w:val="en-GB"/>
        </w:rPr>
        <w:t>adius was set to 5.2 Å, while the Brillouin zones were sampled with 6×6×1 k-point meshes. During geometry optimization, we established convergence criteria (energy: 1×10</w:t>
      </w:r>
      <w:r w:rsidRPr="00DC36C9">
        <w:rPr>
          <w:rFonts w:hint="eastAsia"/>
          <w:color w:val="000000" w:themeColor="text1"/>
          <w:sz w:val="21"/>
          <w:szCs w:val="22"/>
          <w:vertAlign w:val="superscript"/>
          <w:lang w:val="en-GB"/>
        </w:rPr>
        <w:t>-5</w:t>
      </w:r>
      <w:r w:rsidRPr="00DC36C9">
        <w:rPr>
          <w:color w:val="000000" w:themeColor="text1"/>
          <w:sz w:val="21"/>
          <w:szCs w:val="22"/>
          <w:lang w:val="en-GB"/>
        </w:rPr>
        <w:t xml:space="preserve"> Ha, force: 2×10</w:t>
      </w:r>
      <w:r w:rsidRPr="00DC36C9">
        <w:rPr>
          <w:rFonts w:hint="eastAsia"/>
          <w:color w:val="000000" w:themeColor="text1"/>
          <w:sz w:val="21"/>
          <w:szCs w:val="22"/>
          <w:vertAlign w:val="superscript"/>
          <w:lang w:val="en-GB"/>
        </w:rPr>
        <w:t>-3</w:t>
      </w:r>
      <w:r w:rsidRPr="00DC36C9">
        <w:rPr>
          <w:color w:val="000000" w:themeColor="text1"/>
          <w:sz w:val="21"/>
          <w:szCs w:val="22"/>
          <w:lang w:val="en-GB"/>
        </w:rPr>
        <w:t xml:space="preserve"> </w:t>
      </w:r>
      <w:proofErr w:type="spellStart"/>
      <w:r w:rsidRPr="00DC36C9">
        <w:rPr>
          <w:color w:val="000000" w:themeColor="text1"/>
          <w:sz w:val="21"/>
          <w:szCs w:val="22"/>
          <w:lang w:val="en-GB"/>
        </w:rPr>
        <w:t>Ha·Å</w:t>
      </w:r>
      <w:r w:rsidRPr="00DC36C9">
        <w:rPr>
          <w:rFonts w:hint="eastAsia"/>
          <w:color w:val="000000" w:themeColor="text1"/>
          <w:sz w:val="21"/>
          <w:szCs w:val="22"/>
          <w:vertAlign w:val="superscript"/>
          <w:lang w:val="en-GB"/>
        </w:rPr>
        <w:t>-1</w:t>
      </w:r>
      <w:proofErr w:type="spellEnd"/>
      <w:r w:rsidRPr="00DC36C9">
        <w:rPr>
          <w:color w:val="000000" w:themeColor="text1"/>
          <w:sz w:val="21"/>
          <w:szCs w:val="22"/>
          <w:lang w:val="en-GB"/>
        </w:rPr>
        <w:t>, and displacement: 5×10</w:t>
      </w:r>
      <w:r w:rsidRPr="00DC36C9">
        <w:rPr>
          <w:rFonts w:hint="eastAsia"/>
          <w:color w:val="000000" w:themeColor="text1"/>
          <w:sz w:val="21"/>
          <w:szCs w:val="22"/>
          <w:vertAlign w:val="superscript"/>
          <w:lang w:val="en-GB"/>
        </w:rPr>
        <w:t>-3</w:t>
      </w:r>
      <w:r w:rsidRPr="00DC36C9">
        <w:rPr>
          <w:color w:val="000000" w:themeColor="text1"/>
          <w:sz w:val="21"/>
          <w:szCs w:val="22"/>
          <w:lang w:val="en-GB"/>
        </w:rPr>
        <w:t xml:space="preserve"> Å).</w:t>
      </w:r>
      <w:bookmarkEnd w:id="2"/>
      <w:r w:rsidRPr="00DC36C9">
        <w:rPr>
          <w:color w:val="000000" w:themeColor="text1"/>
          <w:sz w:val="21"/>
          <w:szCs w:val="22"/>
          <w:lang w:val="en-GB"/>
        </w:rPr>
        <w:t xml:space="preserve"> </w:t>
      </w:r>
      <w:bookmarkEnd w:id="0"/>
      <w:r w:rsidRPr="00DC36C9">
        <w:rPr>
          <w:bCs/>
          <w:color w:val="000000" w:themeColor="text1"/>
          <w:sz w:val="21"/>
          <w:szCs w:val="22"/>
        </w:rPr>
        <w:t>Transition states of the elementary reaction were located using the linear synchronous transit/quadratic synchronous transit (</w:t>
      </w:r>
      <w:proofErr w:type="spellStart"/>
      <w:r w:rsidRPr="00DC36C9">
        <w:rPr>
          <w:bCs/>
          <w:color w:val="000000" w:themeColor="text1"/>
          <w:sz w:val="21"/>
          <w:szCs w:val="22"/>
        </w:rPr>
        <w:t>LST</w:t>
      </w:r>
      <w:proofErr w:type="spellEnd"/>
      <w:r w:rsidRPr="00DC36C9">
        <w:rPr>
          <w:bCs/>
          <w:color w:val="000000" w:themeColor="text1"/>
          <w:sz w:val="21"/>
          <w:szCs w:val="22"/>
        </w:rPr>
        <w:t>/</w:t>
      </w:r>
      <w:proofErr w:type="spellStart"/>
      <w:r w:rsidRPr="00DC36C9">
        <w:rPr>
          <w:bCs/>
          <w:color w:val="000000" w:themeColor="text1"/>
          <w:sz w:val="21"/>
          <w:szCs w:val="22"/>
        </w:rPr>
        <w:t>QST</w:t>
      </w:r>
      <w:proofErr w:type="spellEnd"/>
      <w:r w:rsidRPr="00DC36C9">
        <w:rPr>
          <w:bCs/>
          <w:color w:val="000000" w:themeColor="text1"/>
          <w:sz w:val="21"/>
          <w:szCs w:val="22"/>
        </w:rPr>
        <w:t>) method and verified by vibrational frequency analysis.</w:t>
      </w:r>
    </w:p>
    <w:p w14:paraId="27BD9DEA" w14:textId="77777777" w:rsidR="000A3577" w:rsidRPr="00DC36C9" w:rsidRDefault="000A3577" w:rsidP="005C1002">
      <w:pPr>
        <w:spacing w:line="360" w:lineRule="auto"/>
        <w:ind w:firstLineChars="200" w:firstLine="420"/>
        <w:jc w:val="both"/>
        <w:rPr>
          <w:color w:val="000000" w:themeColor="text1"/>
          <w:sz w:val="21"/>
          <w:szCs w:val="22"/>
        </w:rPr>
      </w:pPr>
      <w:r w:rsidRPr="00DC36C9">
        <w:rPr>
          <w:color w:val="000000" w:themeColor="text1"/>
          <w:sz w:val="21"/>
          <w:szCs w:val="22"/>
        </w:rPr>
        <w:t>The adsorption free energy (</w:t>
      </w:r>
      <w:proofErr w:type="spellStart"/>
      <w:r w:rsidRPr="00DC36C9">
        <w:rPr>
          <w:color w:val="000000" w:themeColor="text1"/>
          <w:sz w:val="21"/>
          <w:szCs w:val="22"/>
        </w:rPr>
        <w:t>Δ</w:t>
      </w:r>
      <w:r w:rsidRPr="00DC36C9">
        <w:rPr>
          <w:i/>
          <w:color w:val="000000" w:themeColor="text1"/>
          <w:sz w:val="21"/>
          <w:szCs w:val="22"/>
        </w:rPr>
        <w:t>G</w:t>
      </w:r>
      <w:proofErr w:type="spellEnd"/>
      <w:r w:rsidRPr="00DC36C9">
        <w:rPr>
          <w:color w:val="000000" w:themeColor="text1"/>
          <w:sz w:val="21"/>
          <w:szCs w:val="22"/>
        </w:rPr>
        <w:t>) of the adsorbed species (e.g., DMBT (</w:t>
      </w:r>
      <w:proofErr w:type="spellStart"/>
      <w:r w:rsidRPr="00DC36C9">
        <w:rPr>
          <w:color w:val="000000" w:themeColor="text1"/>
          <w:sz w:val="21"/>
          <w:szCs w:val="22"/>
        </w:rPr>
        <w:t>C</w:t>
      </w:r>
      <w:r w:rsidRPr="00DC36C9">
        <w:rPr>
          <w:color w:val="000000" w:themeColor="text1"/>
          <w:sz w:val="21"/>
          <w:szCs w:val="22"/>
          <w:vertAlign w:val="subscript"/>
        </w:rPr>
        <w:t>8</w:t>
      </w:r>
      <w:r w:rsidRPr="00DC36C9">
        <w:rPr>
          <w:color w:val="000000" w:themeColor="text1"/>
          <w:sz w:val="21"/>
          <w:szCs w:val="22"/>
        </w:rPr>
        <w:t>H</w:t>
      </w:r>
      <w:r w:rsidRPr="00DC36C9">
        <w:rPr>
          <w:color w:val="000000" w:themeColor="text1"/>
          <w:sz w:val="21"/>
          <w:szCs w:val="22"/>
          <w:vertAlign w:val="subscript"/>
        </w:rPr>
        <w:t>10</w:t>
      </w:r>
      <w:r w:rsidRPr="00DC36C9">
        <w:rPr>
          <w:color w:val="000000" w:themeColor="text1"/>
          <w:sz w:val="21"/>
          <w:szCs w:val="22"/>
        </w:rPr>
        <w:t>S</w:t>
      </w:r>
      <w:proofErr w:type="spellEnd"/>
      <w:r w:rsidRPr="00DC36C9">
        <w:rPr>
          <w:color w:val="000000" w:themeColor="text1"/>
          <w:sz w:val="21"/>
          <w:szCs w:val="22"/>
        </w:rPr>
        <w:t>), and TPMT (</w:t>
      </w:r>
      <w:proofErr w:type="spellStart"/>
      <w:r w:rsidRPr="00DC36C9">
        <w:rPr>
          <w:color w:val="000000" w:themeColor="text1"/>
          <w:sz w:val="21"/>
          <w:szCs w:val="22"/>
        </w:rPr>
        <w:t>C</w:t>
      </w:r>
      <w:r w:rsidRPr="00DC36C9">
        <w:rPr>
          <w:color w:val="000000" w:themeColor="text1"/>
          <w:sz w:val="21"/>
          <w:szCs w:val="22"/>
          <w:vertAlign w:val="subscript"/>
        </w:rPr>
        <w:t>9</w:t>
      </w:r>
      <w:r w:rsidRPr="00DC36C9">
        <w:rPr>
          <w:color w:val="000000" w:themeColor="text1"/>
          <w:sz w:val="21"/>
          <w:szCs w:val="22"/>
        </w:rPr>
        <w:t>H</w:t>
      </w:r>
      <w:r w:rsidRPr="00DC36C9">
        <w:rPr>
          <w:color w:val="000000" w:themeColor="text1"/>
          <w:sz w:val="21"/>
          <w:szCs w:val="22"/>
          <w:vertAlign w:val="subscript"/>
        </w:rPr>
        <w:t>16</w:t>
      </w:r>
      <w:r w:rsidRPr="00DC36C9">
        <w:rPr>
          <w:color w:val="000000" w:themeColor="text1"/>
          <w:sz w:val="21"/>
          <w:szCs w:val="22"/>
        </w:rPr>
        <w:t>S</w:t>
      </w:r>
      <w:proofErr w:type="spellEnd"/>
      <w:r w:rsidRPr="00DC36C9">
        <w:rPr>
          <w:color w:val="000000" w:themeColor="text1"/>
          <w:sz w:val="21"/>
          <w:szCs w:val="22"/>
        </w:rPr>
        <w:t>)) on the surface was calculated by the equation:</w:t>
      </w:r>
    </w:p>
    <w:p w14:paraId="305FD5CD" w14:textId="77777777" w:rsidR="000A3577" w:rsidRPr="00DC36C9" w:rsidRDefault="000A3577" w:rsidP="005C1002">
      <w:pPr>
        <w:spacing w:line="360" w:lineRule="auto"/>
        <w:jc w:val="both"/>
        <w:rPr>
          <w:color w:val="000000" w:themeColor="text1"/>
          <w:sz w:val="21"/>
          <w:szCs w:val="22"/>
        </w:rPr>
      </w:pPr>
      <m:oMathPara>
        <m:oMath>
          <m:r>
            <m:rPr>
              <m:nor/>
            </m:rPr>
            <w:rPr>
              <w:color w:val="000000" w:themeColor="text1"/>
              <w:sz w:val="21"/>
              <w:szCs w:val="22"/>
            </w:rPr>
            <m:t>∆</m:t>
          </m:r>
          <m:r>
            <m:rPr>
              <m:nor/>
            </m:rPr>
            <w:rPr>
              <w:i/>
              <w:color w:val="000000" w:themeColor="text1"/>
              <w:sz w:val="21"/>
              <w:szCs w:val="22"/>
            </w:rPr>
            <m:t>G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1"/>
              <w:szCs w:val="22"/>
            </w:rPr>
            <m:t>=</m:t>
          </m:r>
          <m:r>
            <m:rPr>
              <m:nor/>
            </m:rPr>
            <w:rPr>
              <w:color w:val="000000" w:themeColor="text1"/>
              <w:sz w:val="21"/>
              <w:szCs w:val="22"/>
            </w:rPr>
            <m:t>∆</m:t>
          </m:r>
          <m:r>
            <m:rPr>
              <m:nor/>
            </m:rPr>
            <w:rPr>
              <w:i/>
              <w:color w:val="000000" w:themeColor="text1"/>
              <w:sz w:val="21"/>
              <w:szCs w:val="22"/>
            </w:rPr>
            <m:t>E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1"/>
              <w:szCs w:val="22"/>
            </w:rPr>
            <m:t>+</m:t>
          </m:r>
          <m:r>
            <m:rPr>
              <m:nor/>
            </m:rPr>
            <w:rPr>
              <w:color w:val="000000" w:themeColor="text1"/>
              <w:sz w:val="21"/>
              <w:szCs w:val="22"/>
            </w:rPr>
            <m:t>∆</m:t>
          </m:r>
          <w:proofErr w:type="spellStart"/>
          <m:r>
            <m:rPr>
              <m:nor/>
            </m:rPr>
            <w:rPr>
              <w:i/>
              <w:color w:val="000000" w:themeColor="text1"/>
              <w:sz w:val="21"/>
              <w:szCs w:val="22"/>
            </w:rPr>
            <m:t>ZPE</m:t>
          </m:r>
          <w:proofErr w:type="spellEnd"/>
          <m:r>
            <w:rPr>
              <w:rFonts w:ascii="Cambria Math" w:hAnsi="Cambria Math"/>
              <w:color w:val="000000" w:themeColor="text1"/>
              <w:sz w:val="21"/>
              <w:szCs w:val="22"/>
            </w:rPr>
            <m:t>-</m:t>
          </m:r>
          <m:r>
            <m:rPr>
              <m:nor/>
            </m:rPr>
            <w:rPr>
              <w:i/>
              <w:color w:val="000000" w:themeColor="text1"/>
              <w:sz w:val="21"/>
              <w:szCs w:val="22"/>
            </w:rPr>
            <m:t>T</m:t>
          </m:r>
          <m:r>
            <m:rPr>
              <m:nor/>
            </m:rPr>
            <w:rPr>
              <w:color w:val="000000" w:themeColor="text1"/>
              <w:sz w:val="21"/>
              <w:szCs w:val="22"/>
            </w:rPr>
            <m:t>∆</m:t>
          </m:r>
          <m:r>
            <m:rPr>
              <m:nor/>
            </m:rPr>
            <w:rPr>
              <w:i/>
              <w:color w:val="000000" w:themeColor="text1"/>
              <w:sz w:val="21"/>
              <w:szCs w:val="22"/>
            </w:rPr>
            <m:t>S</m:t>
          </m:r>
        </m:oMath>
      </m:oMathPara>
    </w:p>
    <w:p w14:paraId="6799F15D" w14:textId="77777777" w:rsidR="000A3577" w:rsidRPr="00DC36C9" w:rsidRDefault="000A3577" w:rsidP="005C1002">
      <w:pPr>
        <w:spacing w:line="360" w:lineRule="auto"/>
        <w:jc w:val="both"/>
        <w:rPr>
          <w:color w:val="000000" w:themeColor="text1"/>
          <w:sz w:val="21"/>
          <w:szCs w:val="22"/>
        </w:rPr>
      </w:pPr>
      <w:r w:rsidRPr="00DC36C9">
        <w:rPr>
          <w:color w:val="000000" w:themeColor="text1"/>
          <w:sz w:val="21"/>
          <w:szCs w:val="22"/>
        </w:rPr>
        <w:t xml:space="preserve">in which </w:t>
      </w:r>
      <w:proofErr w:type="spellStart"/>
      <w:r w:rsidRPr="00DC36C9">
        <w:rPr>
          <w:color w:val="000000" w:themeColor="text1"/>
          <w:sz w:val="21"/>
          <w:szCs w:val="22"/>
        </w:rPr>
        <w:t>Δ</w:t>
      </w:r>
      <w:r w:rsidRPr="00DC36C9">
        <w:rPr>
          <w:i/>
          <w:color w:val="000000" w:themeColor="text1"/>
          <w:sz w:val="21"/>
          <w:szCs w:val="22"/>
        </w:rPr>
        <w:t>E</w:t>
      </w:r>
      <w:proofErr w:type="spellEnd"/>
      <w:r w:rsidRPr="00DC36C9">
        <w:rPr>
          <w:color w:val="000000" w:themeColor="text1"/>
          <w:sz w:val="21"/>
          <w:szCs w:val="22"/>
        </w:rPr>
        <w:t xml:space="preserve"> </w:t>
      </w:r>
      <w:r w:rsidRPr="00DC36C9">
        <w:rPr>
          <w:rFonts w:hint="eastAsia"/>
          <w:color w:val="000000" w:themeColor="text1"/>
          <w:sz w:val="21"/>
          <w:szCs w:val="22"/>
        </w:rPr>
        <w:t>was</w:t>
      </w:r>
      <w:r w:rsidRPr="00DC36C9">
        <w:rPr>
          <w:color w:val="000000" w:themeColor="text1"/>
          <w:sz w:val="21"/>
          <w:szCs w:val="22"/>
        </w:rPr>
        <w:t xml:space="preserve"> calculated by </w:t>
      </w:r>
      <m:oMath>
        <m:r>
          <m:rPr>
            <m:nor/>
          </m:rPr>
          <w:rPr>
            <w:i/>
            <w:color w:val="000000" w:themeColor="text1"/>
            <w:sz w:val="21"/>
            <w:szCs w:val="22"/>
          </w:rPr>
          <m:t>∆E</m:t>
        </m:r>
        <m:r>
          <m:rPr>
            <m:sty m:val="p"/>
          </m:rPr>
          <w:rPr>
            <w:rFonts w:ascii="Cambria Math" w:hAnsi="Cambria Math"/>
            <w:color w:val="000000" w:themeColor="text1"/>
            <w:sz w:val="21"/>
            <w:szCs w:val="22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1"/>
                <w:szCs w:val="22"/>
              </w:rPr>
            </m:ctrlPr>
          </m:sSubPr>
          <m:e>
            <m:r>
              <m:rPr>
                <m:nor/>
              </m:rPr>
              <w:rPr>
                <w:i/>
                <w:color w:val="000000" w:themeColor="text1"/>
                <w:sz w:val="21"/>
                <w:szCs w:val="22"/>
              </w:rPr>
              <m:t>E</m:t>
            </m:r>
          </m:e>
          <m:sub>
            <m:r>
              <m:rPr>
                <m:nor/>
              </m:rPr>
              <w:rPr>
                <w:color w:val="000000" w:themeColor="text1"/>
                <w:sz w:val="21"/>
                <w:szCs w:val="22"/>
              </w:rPr>
              <m:t>absorbate/substrate</m:t>
            </m:r>
          </m:sub>
        </m:sSub>
        <m:r>
          <w:rPr>
            <w:rFonts w:ascii="Cambria Math" w:hAnsi="Cambria Math"/>
            <w:color w:val="000000" w:themeColor="text1"/>
            <w:sz w:val="21"/>
            <w:szCs w:val="22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1"/>
                <w:szCs w:val="22"/>
              </w:rPr>
            </m:ctrlPr>
          </m:sSubPr>
          <m:e>
            <m:r>
              <m:rPr>
                <m:nor/>
              </m:rPr>
              <w:rPr>
                <w:i/>
                <w:color w:val="000000" w:themeColor="text1"/>
                <w:sz w:val="21"/>
                <w:szCs w:val="22"/>
              </w:rPr>
              <m:t>E</m:t>
            </m:r>
          </m:e>
          <m:sub>
            <m:r>
              <m:rPr>
                <m:nor/>
              </m:rPr>
              <w:rPr>
                <w:color w:val="000000" w:themeColor="text1"/>
                <w:sz w:val="21"/>
                <w:szCs w:val="22"/>
              </w:rPr>
              <m:t>absorbate</m:t>
            </m:r>
          </m:sub>
        </m:sSub>
        <m:r>
          <w:rPr>
            <w:rFonts w:ascii="Cambria Math" w:hAnsi="Cambria Math"/>
            <w:color w:val="000000" w:themeColor="text1"/>
            <w:sz w:val="21"/>
            <w:szCs w:val="22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1"/>
                <w:szCs w:val="22"/>
              </w:rPr>
            </m:ctrlPr>
          </m:sSubPr>
          <m:e>
            <m:r>
              <m:rPr>
                <m:nor/>
              </m:rPr>
              <w:rPr>
                <w:i/>
                <w:color w:val="000000" w:themeColor="text1"/>
                <w:sz w:val="21"/>
                <w:szCs w:val="22"/>
              </w:rPr>
              <m:t>E</m:t>
            </m:r>
          </m:e>
          <m:sub>
            <m:r>
              <m:rPr>
                <m:nor/>
              </m:rPr>
              <w:rPr>
                <w:color w:val="000000" w:themeColor="text1"/>
                <w:sz w:val="21"/>
                <w:szCs w:val="22"/>
              </w:rPr>
              <m:t>substrate</m:t>
            </m:r>
          </m:sub>
        </m:sSub>
      </m:oMath>
      <w:r w:rsidRPr="00DC36C9">
        <w:rPr>
          <w:color w:val="000000" w:themeColor="text1"/>
          <w:sz w:val="21"/>
          <w:szCs w:val="22"/>
        </w:rPr>
        <w:t xml:space="preserve">, where </w:t>
      </w:r>
      <w:proofErr w:type="spellStart"/>
      <w:r w:rsidRPr="00DC36C9">
        <w:rPr>
          <w:i/>
          <w:color w:val="000000" w:themeColor="text1"/>
          <w:sz w:val="21"/>
          <w:szCs w:val="22"/>
        </w:rPr>
        <w:t>E</w:t>
      </w:r>
      <w:r w:rsidRPr="00DC36C9">
        <w:rPr>
          <w:color w:val="000000" w:themeColor="text1"/>
          <w:sz w:val="21"/>
          <w:szCs w:val="22"/>
          <w:vertAlign w:val="subscript"/>
        </w:rPr>
        <w:t>absorbate</w:t>
      </w:r>
      <w:proofErr w:type="spellEnd"/>
      <w:r w:rsidRPr="00DC36C9">
        <w:rPr>
          <w:color w:val="000000" w:themeColor="text1"/>
          <w:sz w:val="21"/>
          <w:szCs w:val="22"/>
          <w:vertAlign w:val="subscript"/>
        </w:rPr>
        <w:t>/substrate</w:t>
      </w:r>
      <w:r w:rsidRPr="00DC36C9">
        <w:rPr>
          <w:color w:val="000000" w:themeColor="text1"/>
          <w:sz w:val="21"/>
          <w:szCs w:val="22"/>
        </w:rPr>
        <w:t xml:space="preserve">, </w:t>
      </w:r>
      <w:proofErr w:type="spellStart"/>
      <w:r w:rsidRPr="00DC36C9">
        <w:rPr>
          <w:i/>
          <w:color w:val="000000" w:themeColor="text1"/>
          <w:sz w:val="21"/>
          <w:szCs w:val="22"/>
        </w:rPr>
        <w:t>E</w:t>
      </w:r>
      <w:r w:rsidRPr="00DC36C9">
        <w:rPr>
          <w:color w:val="000000" w:themeColor="text1"/>
          <w:sz w:val="21"/>
          <w:szCs w:val="22"/>
          <w:vertAlign w:val="subscript"/>
        </w:rPr>
        <w:t>absorbate</w:t>
      </w:r>
      <w:proofErr w:type="spellEnd"/>
      <w:r w:rsidRPr="00DC36C9">
        <w:rPr>
          <w:color w:val="000000" w:themeColor="text1"/>
          <w:sz w:val="21"/>
          <w:szCs w:val="22"/>
        </w:rPr>
        <w:t xml:space="preserve">, and </w:t>
      </w:r>
      <w:proofErr w:type="spellStart"/>
      <w:r w:rsidRPr="00DC36C9">
        <w:rPr>
          <w:i/>
          <w:color w:val="000000" w:themeColor="text1"/>
          <w:sz w:val="21"/>
          <w:szCs w:val="22"/>
        </w:rPr>
        <w:t>E</w:t>
      </w:r>
      <w:r w:rsidRPr="00DC36C9">
        <w:rPr>
          <w:color w:val="000000" w:themeColor="text1"/>
          <w:sz w:val="21"/>
          <w:szCs w:val="22"/>
          <w:vertAlign w:val="subscript"/>
        </w:rPr>
        <w:t>substrate</w:t>
      </w:r>
      <w:proofErr w:type="spellEnd"/>
      <w:r w:rsidRPr="00DC36C9">
        <w:rPr>
          <w:color w:val="000000" w:themeColor="text1"/>
          <w:sz w:val="21"/>
          <w:szCs w:val="22"/>
        </w:rPr>
        <w:t xml:space="preserve"> are the total energy of the catalyst system with the adsorbed species, the gas phase adsorbate, and the isolated catalyst substrate, respectively. </w:t>
      </w:r>
      <w:proofErr w:type="spellStart"/>
      <w:r w:rsidRPr="00DC36C9">
        <w:rPr>
          <w:color w:val="000000" w:themeColor="text1"/>
          <w:sz w:val="21"/>
          <w:szCs w:val="22"/>
        </w:rPr>
        <w:t>Δ</w:t>
      </w:r>
      <w:r w:rsidRPr="00DC36C9">
        <w:rPr>
          <w:i/>
          <w:color w:val="000000" w:themeColor="text1"/>
          <w:sz w:val="21"/>
          <w:szCs w:val="22"/>
        </w:rPr>
        <w:t>ZPE</w:t>
      </w:r>
      <w:proofErr w:type="spellEnd"/>
      <w:r w:rsidRPr="00DC36C9">
        <w:rPr>
          <w:color w:val="000000" w:themeColor="text1"/>
          <w:sz w:val="21"/>
          <w:szCs w:val="22"/>
        </w:rPr>
        <w:t xml:space="preserve"> is the difference in zero-point energy, and </w:t>
      </w:r>
      <w:proofErr w:type="spellStart"/>
      <w:r w:rsidRPr="00DC36C9">
        <w:rPr>
          <w:color w:val="000000" w:themeColor="text1"/>
          <w:sz w:val="21"/>
          <w:szCs w:val="22"/>
        </w:rPr>
        <w:t>Δ</w:t>
      </w:r>
      <w:r w:rsidRPr="00DC36C9">
        <w:rPr>
          <w:i/>
          <w:color w:val="000000" w:themeColor="text1"/>
          <w:sz w:val="21"/>
          <w:szCs w:val="22"/>
        </w:rPr>
        <w:t>S</w:t>
      </w:r>
      <w:proofErr w:type="spellEnd"/>
      <w:r w:rsidRPr="00DC36C9">
        <w:rPr>
          <w:color w:val="000000" w:themeColor="text1"/>
          <w:sz w:val="21"/>
          <w:szCs w:val="22"/>
        </w:rPr>
        <w:t xml:space="preserve"> is the entropy correction at T = 298 K.</w:t>
      </w:r>
    </w:p>
    <w:p w14:paraId="0801470C" w14:textId="77777777" w:rsidR="000A3577" w:rsidRDefault="000A3577" w:rsidP="000A3577">
      <w:pPr>
        <w:widowControl/>
        <w:rPr>
          <w:sz w:val="24"/>
        </w:rPr>
      </w:pPr>
    </w:p>
    <w:p w14:paraId="340F42F8" w14:textId="77777777" w:rsidR="000A3577" w:rsidRPr="00BF6A3F" w:rsidRDefault="000A3577" w:rsidP="000A3577">
      <w:pPr>
        <w:spacing w:line="360" w:lineRule="auto"/>
      </w:pPr>
    </w:p>
    <w:p w14:paraId="0321FC22" w14:textId="60A08640" w:rsidR="00FC1245" w:rsidRDefault="00FC1245"/>
    <w:p w14:paraId="094B29BC" w14:textId="77777777" w:rsidR="00887DA0" w:rsidRDefault="00887DA0"/>
    <w:p w14:paraId="15C51EA9" w14:textId="0EFD26AE" w:rsidR="004B3093" w:rsidRDefault="004B3093" w:rsidP="004B3093">
      <w:pPr>
        <w:spacing w:line="360" w:lineRule="auto"/>
        <w:rPr>
          <w:color w:val="FF0000"/>
          <w:szCs w:val="21"/>
        </w:rPr>
      </w:pPr>
    </w:p>
    <w:p w14:paraId="73FD2643" w14:textId="2764F540" w:rsidR="000A3577" w:rsidRDefault="000A3577" w:rsidP="004B3093">
      <w:pPr>
        <w:spacing w:line="360" w:lineRule="auto"/>
        <w:rPr>
          <w:color w:val="FF0000"/>
          <w:szCs w:val="21"/>
        </w:rPr>
      </w:pPr>
      <w:r>
        <w:rPr>
          <w:noProof/>
        </w:rPr>
        <w:lastRenderedPageBreak/>
        <w:drawing>
          <wp:inline distT="0" distB="0" distL="0" distR="0" wp14:anchorId="4E66EC81" wp14:editId="50472AB0">
            <wp:extent cx="5616388" cy="2445459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7" t="25448" r="2479" b="4156"/>
                    <a:stretch/>
                  </pic:blipFill>
                  <pic:spPr bwMode="auto">
                    <a:xfrm>
                      <a:off x="0" y="0"/>
                      <a:ext cx="5652857" cy="246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35F483" w14:textId="25ABE9C8" w:rsidR="004B3093" w:rsidRPr="008D7C2C" w:rsidRDefault="004B3093" w:rsidP="004B3093">
      <w:pPr>
        <w:spacing w:line="360" w:lineRule="auto"/>
        <w:rPr>
          <w:color w:val="000000" w:themeColor="text1"/>
          <w:sz w:val="21"/>
          <w:szCs w:val="20"/>
        </w:rPr>
      </w:pPr>
      <w:r w:rsidRPr="008D7C2C">
        <w:rPr>
          <w:color w:val="000000" w:themeColor="text1"/>
          <w:sz w:val="21"/>
          <w:szCs w:val="20"/>
        </w:rPr>
        <w:t xml:space="preserve">Figure </w:t>
      </w:r>
      <w:proofErr w:type="spellStart"/>
      <w:r w:rsidRPr="008D7C2C">
        <w:rPr>
          <w:color w:val="000000" w:themeColor="text1"/>
          <w:sz w:val="21"/>
          <w:szCs w:val="20"/>
        </w:rPr>
        <w:t>S1</w:t>
      </w:r>
      <w:proofErr w:type="spellEnd"/>
      <w:r w:rsidRPr="008D7C2C">
        <w:rPr>
          <w:color w:val="000000" w:themeColor="text1"/>
          <w:sz w:val="21"/>
          <w:szCs w:val="20"/>
        </w:rPr>
        <w:t xml:space="preserve">. </w:t>
      </w:r>
      <w:r w:rsidRPr="008D7C2C">
        <w:rPr>
          <w:color w:val="000000" w:themeColor="text1"/>
          <w:sz w:val="21"/>
          <w:szCs w:val="22"/>
        </w:rPr>
        <w:t xml:space="preserve">Schematic illustration (a) and Gibbs free energy profiles (b) of different reaction pathways for the hydroformylation of 1-hexene over the Rh@MFI catalyst, calculated using the </w:t>
      </w:r>
      <w:proofErr w:type="spellStart"/>
      <w:r w:rsidRPr="008D7C2C">
        <w:rPr>
          <w:color w:val="000000" w:themeColor="text1"/>
          <w:sz w:val="21"/>
          <w:szCs w:val="22"/>
        </w:rPr>
        <w:t>DMol</w:t>
      </w:r>
      <w:r w:rsidRPr="008D7C2C">
        <w:rPr>
          <w:color w:val="000000" w:themeColor="text1"/>
          <w:sz w:val="21"/>
          <w:szCs w:val="22"/>
          <w:vertAlign w:val="superscript"/>
        </w:rPr>
        <w:t>3</w:t>
      </w:r>
      <w:proofErr w:type="spellEnd"/>
      <w:r w:rsidRPr="008D7C2C">
        <w:rPr>
          <w:color w:val="000000" w:themeColor="text1"/>
          <w:sz w:val="21"/>
          <w:szCs w:val="22"/>
        </w:rPr>
        <w:t xml:space="preserve"> module.</w:t>
      </w:r>
    </w:p>
    <w:p w14:paraId="23300C55" w14:textId="7FAE10CD" w:rsidR="00FC1245" w:rsidRDefault="00FC1245"/>
    <w:p w14:paraId="53C79556" w14:textId="159A4CD3" w:rsidR="000A3577" w:rsidRDefault="000A3577"/>
    <w:p w14:paraId="2356F120" w14:textId="77777777" w:rsidR="00853FC9" w:rsidRPr="0039545B" w:rsidRDefault="00853FC9" w:rsidP="00853FC9">
      <w:pPr>
        <w:spacing w:line="360" w:lineRule="auto"/>
        <w:jc w:val="center"/>
        <w:rPr>
          <w:color w:val="0070C0"/>
          <w:szCs w:val="21"/>
        </w:rPr>
      </w:pPr>
      <w:r w:rsidRPr="0039545B">
        <w:rPr>
          <w:noProof/>
          <w:color w:val="0070C0"/>
          <w:szCs w:val="21"/>
        </w:rPr>
        <w:drawing>
          <wp:inline distT="0" distB="0" distL="0" distR="0" wp14:anchorId="4CA057A0" wp14:editId="3E4E84FE">
            <wp:extent cx="3494314" cy="2566255"/>
            <wp:effectExtent l="0" t="0" r="0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8271" cy="257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D2E91" w14:textId="1001825E" w:rsidR="00853FC9" w:rsidRPr="008D7C2C" w:rsidRDefault="00853FC9" w:rsidP="00853FC9">
      <w:pPr>
        <w:spacing w:line="360" w:lineRule="auto"/>
        <w:jc w:val="center"/>
        <w:rPr>
          <w:kern w:val="0"/>
          <w:sz w:val="21"/>
          <w:szCs w:val="20"/>
        </w:rPr>
      </w:pPr>
      <w:r w:rsidRPr="008D7C2C">
        <w:rPr>
          <w:rFonts w:hint="eastAsia"/>
          <w:kern w:val="0"/>
          <w:sz w:val="21"/>
          <w:szCs w:val="20"/>
        </w:rPr>
        <w:t>F</w:t>
      </w:r>
      <w:r w:rsidRPr="008D7C2C">
        <w:rPr>
          <w:kern w:val="0"/>
          <w:sz w:val="21"/>
          <w:szCs w:val="20"/>
        </w:rPr>
        <w:t xml:space="preserve">igure </w:t>
      </w:r>
      <w:proofErr w:type="spellStart"/>
      <w:r w:rsidRPr="008D7C2C">
        <w:rPr>
          <w:kern w:val="0"/>
          <w:sz w:val="21"/>
          <w:szCs w:val="20"/>
        </w:rPr>
        <w:t>S2</w:t>
      </w:r>
      <w:proofErr w:type="spellEnd"/>
      <w:r w:rsidRPr="008D7C2C">
        <w:rPr>
          <w:kern w:val="0"/>
          <w:sz w:val="21"/>
          <w:szCs w:val="20"/>
        </w:rPr>
        <w:t xml:space="preserve">. Calculated energy barriers for the key CO insertion step </w:t>
      </w:r>
      <w:r w:rsidR="00C73EDB" w:rsidRPr="008D7C2C">
        <w:rPr>
          <w:kern w:val="0"/>
          <w:sz w:val="21"/>
          <w:szCs w:val="20"/>
        </w:rPr>
        <w:t xml:space="preserve">to </w:t>
      </w:r>
      <w:r w:rsidRPr="008D7C2C">
        <w:rPr>
          <w:kern w:val="0"/>
          <w:sz w:val="21"/>
          <w:szCs w:val="20"/>
        </w:rPr>
        <w:t>form n-heptanal catalyzed by Rh sites located inside and outside the zeolite pores.</w:t>
      </w:r>
    </w:p>
    <w:p w14:paraId="5B81F312" w14:textId="77777777" w:rsidR="00853FC9" w:rsidRPr="00853FC9" w:rsidRDefault="00853FC9"/>
    <w:p w14:paraId="138CB45B" w14:textId="77777777" w:rsidR="000A3577" w:rsidRPr="0039545B" w:rsidRDefault="000A3577" w:rsidP="000A3577">
      <w:pPr>
        <w:jc w:val="center"/>
        <w:rPr>
          <w:szCs w:val="21"/>
        </w:rPr>
      </w:pPr>
      <w:r w:rsidRPr="0039545B">
        <w:rPr>
          <w:noProof/>
          <w:szCs w:val="21"/>
        </w:rPr>
        <w:lastRenderedPageBreak/>
        <w:drawing>
          <wp:inline distT="0" distB="0" distL="0" distR="0" wp14:anchorId="6554EE9A" wp14:editId="06526510">
            <wp:extent cx="3650668" cy="3212465"/>
            <wp:effectExtent l="0" t="0" r="6985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3088" cy="321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FCB3F" w14:textId="16EABDED" w:rsidR="000A3577" w:rsidRPr="008D7C2C" w:rsidRDefault="000A3577" w:rsidP="000A3577">
      <w:pPr>
        <w:spacing w:line="360" w:lineRule="auto"/>
        <w:rPr>
          <w:sz w:val="21"/>
          <w:szCs w:val="20"/>
        </w:rPr>
      </w:pPr>
      <w:r w:rsidRPr="008D7C2C">
        <w:rPr>
          <w:sz w:val="21"/>
          <w:szCs w:val="20"/>
        </w:rPr>
        <w:t xml:space="preserve">Figure </w:t>
      </w:r>
      <w:proofErr w:type="spellStart"/>
      <w:r w:rsidR="00A126FC" w:rsidRPr="008D7C2C">
        <w:rPr>
          <w:sz w:val="21"/>
          <w:szCs w:val="20"/>
        </w:rPr>
        <w:t>S</w:t>
      </w:r>
      <w:r w:rsidR="00C73EDB" w:rsidRPr="008D7C2C">
        <w:rPr>
          <w:sz w:val="21"/>
          <w:szCs w:val="20"/>
        </w:rPr>
        <w:t>3</w:t>
      </w:r>
      <w:proofErr w:type="spellEnd"/>
      <w:r w:rsidRPr="008D7C2C">
        <w:rPr>
          <w:sz w:val="21"/>
          <w:szCs w:val="20"/>
        </w:rPr>
        <w:t>. Stability of 0.5%Rh@S-1 catalysts evaluated with (A) DMBT and (B) TPMT, which was added added in each cycle of the test. Reaction conditions: 0.05 g catalyst, 5 mL toluene, 4 MPa CO/H 2 = 1/1, 70 </w:t>
      </w:r>
      <w:r w:rsidRPr="008D7C2C">
        <w:rPr>
          <w:rFonts w:eastAsia="等线"/>
          <w:sz w:val="21"/>
          <w:szCs w:val="20"/>
        </w:rPr>
        <w:t>°</w:t>
      </w:r>
      <w:r w:rsidRPr="008D7C2C">
        <w:rPr>
          <w:sz w:val="21"/>
          <w:szCs w:val="20"/>
        </w:rPr>
        <w:t>C for 6 h. 0.8 mmol (100 μL) 1-hexene</w:t>
      </w:r>
    </w:p>
    <w:p w14:paraId="5286AC4C" w14:textId="5D07DF96" w:rsidR="000A3577" w:rsidRDefault="000A3577"/>
    <w:p w14:paraId="12196067" w14:textId="7293F9E6" w:rsidR="000A3577" w:rsidRDefault="000A3577"/>
    <w:p w14:paraId="31E6EC62" w14:textId="692C27F2" w:rsidR="000A3577" w:rsidRDefault="000A3577"/>
    <w:p w14:paraId="5E056393" w14:textId="0FC9F77D" w:rsidR="000A3577" w:rsidRDefault="000A3577"/>
    <w:p w14:paraId="5877895D" w14:textId="1CC5C2C5" w:rsidR="000A3577" w:rsidRDefault="006C18C1" w:rsidP="000A3577">
      <w:pPr>
        <w:spacing w:line="360" w:lineRule="auto"/>
        <w:jc w:val="center"/>
      </w:pPr>
      <w:r>
        <w:object w:dxaOrig="12777" w:dyaOrig="13721" w14:anchorId="6CE997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1.35pt;height:302pt" o:ole="">
            <v:imagedata r:id="rId11" o:title=""/>
          </v:shape>
          <o:OLEObject Type="Embed" ProgID="Origin95.Graph" ShapeID="_x0000_i1025" DrawAspect="Content" ObjectID="_1828560310" r:id="rId12"/>
        </w:object>
      </w:r>
    </w:p>
    <w:p w14:paraId="7CDD9C42" w14:textId="21CEEC9A" w:rsidR="000A3577" w:rsidRPr="008D7C2C" w:rsidRDefault="000A3577" w:rsidP="008D7C2C">
      <w:pPr>
        <w:spacing w:after="0" w:line="360" w:lineRule="auto"/>
        <w:jc w:val="both"/>
        <w:rPr>
          <w:kern w:val="0"/>
          <w:sz w:val="21"/>
          <w:szCs w:val="20"/>
        </w:rPr>
      </w:pPr>
      <w:r w:rsidRPr="008D7C2C">
        <w:rPr>
          <w:kern w:val="0"/>
          <w:sz w:val="21"/>
          <w:szCs w:val="20"/>
        </w:rPr>
        <w:t xml:space="preserve">Figure </w:t>
      </w:r>
      <w:proofErr w:type="spellStart"/>
      <w:r w:rsidR="00A126FC" w:rsidRPr="008D7C2C">
        <w:rPr>
          <w:kern w:val="0"/>
          <w:sz w:val="21"/>
          <w:szCs w:val="20"/>
        </w:rPr>
        <w:t>S4</w:t>
      </w:r>
      <w:proofErr w:type="spellEnd"/>
      <w:r w:rsidR="00A126FC" w:rsidRPr="008D7C2C">
        <w:rPr>
          <w:kern w:val="0"/>
          <w:sz w:val="21"/>
          <w:szCs w:val="20"/>
        </w:rPr>
        <w:t>.</w:t>
      </w:r>
      <w:r w:rsidRPr="008D7C2C">
        <w:rPr>
          <w:kern w:val="0"/>
          <w:sz w:val="21"/>
          <w:szCs w:val="20"/>
        </w:rPr>
        <w:t xml:space="preserve"> The </w:t>
      </w:r>
      <w:proofErr w:type="spellStart"/>
      <w:r w:rsidRPr="008D7C2C">
        <w:rPr>
          <w:kern w:val="0"/>
          <w:sz w:val="21"/>
          <w:szCs w:val="20"/>
        </w:rPr>
        <w:t>S2p</w:t>
      </w:r>
      <w:proofErr w:type="spellEnd"/>
      <w:r w:rsidRPr="008D7C2C">
        <w:rPr>
          <w:kern w:val="0"/>
          <w:sz w:val="21"/>
          <w:szCs w:val="20"/>
        </w:rPr>
        <w:t xml:space="preserve"> XPS spectra of poisons on (a) </w:t>
      </w:r>
      <w:r w:rsidRPr="008D7C2C">
        <w:rPr>
          <w:rFonts w:hint="eastAsia"/>
          <w:kern w:val="0"/>
          <w:sz w:val="21"/>
          <w:szCs w:val="20"/>
        </w:rPr>
        <w:t>S</w:t>
      </w:r>
      <w:r w:rsidRPr="008D7C2C">
        <w:rPr>
          <w:kern w:val="0"/>
          <w:sz w:val="21"/>
          <w:szCs w:val="20"/>
        </w:rPr>
        <w:t xml:space="preserve">-1; (b &amp; c) 0.5%Rh@S-1. </w:t>
      </w:r>
      <w:r w:rsidR="008D7C2C" w:rsidRPr="008D7C2C">
        <w:rPr>
          <w:kern w:val="0"/>
          <w:sz w:val="21"/>
          <w:szCs w:val="20"/>
        </w:rPr>
        <w:t>The specific sample treatment procedure was as follows: each sample was stirred in ethanol, followed by the addition of the corresponding poisoning agent. The mixture was then stirred at room temperature for adsorption over 6 h. Afterward, the suspension was separated by high-speed centrifugation, washed with ethanol, and the solid residue was collected and dried in an oven at 50 °C before XPS measurement.</w:t>
      </w:r>
    </w:p>
    <w:p w14:paraId="52283E44" w14:textId="44453089" w:rsidR="000A3577" w:rsidRDefault="000A3577"/>
    <w:p w14:paraId="2D63D668" w14:textId="6A251711" w:rsidR="000A3577" w:rsidRDefault="000A3577"/>
    <w:p w14:paraId="1B8A40A0" w14:textId="77777777" w:rsidR="000A3577" w:rsidRPr="0039545B" w:rsidRDefault="000A3577" w:rsidP="000A3577">
      <w:pPr>
        <w:spacing w:line="360" w:lineRule="auto"/>
        <w:jc w:val="center"/>
        <w:rPr>
          <w:color w:val="0070C0"/>
          <w:szCs w:val="21"/>
        </w:rPr>
      </w:pPr>
      <w:r w:rsidRPr="007D0A3A">
        <w:rPr>
          <w:noProof/>
          <w:color w:val="0070C0"/>
          <w:szCs w:val="21"/>
        </w:rPr>
        <w:lastRenderedPageBreak/>
        <w:drawing>
          <wp:inline distT="0" distB="0" distL="0" distR="0" wp14:anchorId="5E4C4C70" wp14:editId="773A7756">
            <wp:extent cx="3526972" cy="27507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42322" cy="2762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E0AAD" w14:textId="09F6F955" w:rsidR="000A3577" w:rsidRPr="0039545B" w:rsidRDefault="000A3577" w:rsidP="000A3577">
      <w:pPr>
        <w:spacing w:line="360" w:lineRule="auto"/>
        <w:jc w:val="center"/>
        <w:rPr>
          <w:szCs w:val="21"/>
        </w:rPr>
      </w:pPr>
      <w:r w:rsidRPr="0039545B">
        <w:rPr>
          <w:szCs w:val="21"/>
        </w:rPr>
        <w:t xml:space="preserve">Figure </w:t>
      </w:r>
      <w:proofErr w:type="spellStart"/>
      <w:r w:rsidR="00A126FC">
        <w:rPr>
          <w:szCs w:val="21"/>
        </w:rPr>
        <w:t>S5</w:t>
      </w:r>
      <w:proofErr w:type="spellEnd"/>
      <w:r w:rsidR="00A126FC">
        <w:rPr>
          <w:szCs w:val="21"/>
        </w:rPr>
        <w:t>.</w:t>
      </w:r>
      <w:r w:rsidRPr="0039545B">
        <w:rPr>
          <w:szCs w:val="21"/>
        </w:rPr>
        <w:t xml:space="preserve"> The calculated adsorption energy of DMBT and TPMT on Rh site. </w:t>
      </w:r>
    </w:p>
    <w:p w14:paraId="2BF2C55D" w14:textId="77837409" w:rsidR="000A3577" w:rsidRDefault="000A3577"/>
    <w:p w14:paraId="0907838B" w14:textId="62C7EC52" w:rsidR="000A3577" w:rsidRDefault="000A3577"/>
    <w:p w14:paraId="2AC1F9B4" w14:textId="6E954827" w:rsidR="00A126FC" w:rsidRDefault="00A126FC"/>
    <w:p w14:paraId="6FFDF13B" w14:textId="77777777" w:rsidR="00A126FC" w:rsidRPr="00A126FC" w:rsidRDefault="00A126FC"/>
    <w:p w14:paraId="7F399763" w14:textId="77777777" w:rsidR="000A3577" w:rsidRPr="005C41EB" w:rsidRDefault="000A3577" w:rsidP="000A3577">
      <w:pPr>
        <w:spacing w:before="400" w:after="80"/>
        <w:rPr>
          <w:b/>
          <w:sz w:val="18"/>
          <w:szCs w:val="18"/>
        </w:rPr>
      </w:pPr>
      <w:r w:rsidRPr="005C41EB">
        <w:rPr>
          <w:b/>
          <w:sz w:val="24"/>
        </w:rPr>
        <w:t>References</w:t>
      </w:r>
    </w:p>
    <w:p w14:paraId="5F71A0C2" w14:textId="77777777" w:rsidR="000A3577" w:rsidRPr="000A3577" w:rsidRDefault="000A3577" w:rsidP="005C1002">
      <w:pPr>
        <w:spacing w:after="0" w:line="360" w:lineRule="auto"/>
        <w:ind w:left="420" w:hangingChars="200" w:hanging="420"/>
        <w:jc w:val="both"/>
        <w:rPr>
          <w:sz w:val="21"/>
          <w:szCs w:val="22"/>
        </w:rPr>
      </w:pPr>
      <w:r w:rsidRPr="000A3577">
        <w:rPr>
          <w:sz w:val="21"/>
          <w:szCs w:val="22"/>
        </w:rPr>
        <w:t>[1]</w:t>
      </w:r>
      <w:r w:rsidRPr="000A3577">
        <w:rPr>
          <w:sz w:val="21"/>
          <w:szCs w:val="22"/>
        </w:rPr>
        <w:tab/>
        <w:t xml:space="preserve">B. </w:t>
      </w:r>
      <w:proofErr w:type="spellStart"/>
      <w:r w:rsidRPr="000A3577">
        <w:rPr>
          <w:sz w:val="21"/>
          <w:szCs w:val="22"/>
        </w:rPr>
        <w:t>Delley</w:t>
      </w:r>
      <w:proofErr w:type="spellEnd"/>
      <w:r w:rsidRPr="000A3577">
        <w:rPr>
          <w:sz w:val="21"/>
          <w:szCs w:val="22"/>
        </w:rPr>
        <w:t xml:space="preserve">, </w:t>
      </w:r>
      <w:proofErr w:type="spellStart"/>
      <w:r w:rsidRPr="000A3577">
        <w:rPr>
          <w:sz w:val="21"/>
          <w:szCs w:val="22"/>
        </w:rPr>
        <w:t>DMol</w:t>
      </w:r>
      <w:r w:rsidRPr="000A3577">
        <w:rPr>
          <w:sz w:val="21"/>
          <w:szCs w:val="22"/>
          <w:vertAlign w:val="superscript"/>
        </w:rPr>
        <w:t>3</w:t>
      </w:r>
      <w:proofErr w:type="spellEnd"/>
      <w:r w:rsidRPr="000A3577">
        <w:rPr>
          <w:sz w:val="21"/>
          <w:szCs w:val="22"/>
        </w:rPr>
        <w:t xml:space="preserve"> DFT studies: from molecules and molecular environments to surfaces and solids. 2000, Computational Materials Science 17, 122–126.</w:t>
      </w:r>
    </w:p>
    <w:p w14:paraId="25310C9E" w14:textId="77777777" w:rsidR="000A3577" w:rsidRPr="000A3577" w:rsidRDefault="000A3577" w:rsidP="005C1002">
      <w:pPr>
        <w:spacing w:after="0" w:line="360" w:lineRule="auto"/>
        <w:ind w:left="420" w:hangingChars="200" w:hanging="420"/>
        <w:jc w:val="both"/>
        <w:rPr>
          <w:sz w:val="21"/>
          <w:szCs w:val="22"/>
        </w:rPr>
      </w:pPr>
      <w:r w:rsidRPr="000A3577">
        <w:rPr>
          <w:sz w:val="21"/>
          <w:szCs w:val="22"/>
        </w:rPr>
        <w:t>[2]</w:t>
      </w:r>
      <w:r w:rsidRPr="000A3577">
        <w:rPr>
          <w:sz w:val="21"/>
          <w:szCs w:val="22"/>
        </w:rPr>
        <w:tab/>
        <w:t>J. P. Perdew, K. Burke, M. Ernzerhof, Generalized Gradient Approximation Made Simple. Physical Review Letters, 1996, 77(18), 3865-3868.</w:t>
      </w:r>
    </w:p>
    <w:p w14:paraId="65BDD094" w14:textId="77777777" w:rsidR="000A3577" w:rsidRPr="000A3577" w:rsidRDefault="000A3577" w:rsidP="005C1002">
      <w:pPr>
        <w:spacing w:after="0" w:line="360" w:lineRule="auto"/>
        <w:ind w:left="420" w:hangingChars="200" w:hanging="420"/>
        <w:jc w:val="both"/>
        <w:rPr>
          <w:sz w:val="21"/>
          <w:szCs w:val="22"/>
        </w:rPr>
      </w:pPr>
      <w:r w:rsidRPr="000A3577">
        <w:rPr>
          <w:sz w:val="21"/>
          <w:szCs w:val="22"/>
        </w:rPr>
        <w:t>[3]</w:t>
      </w:r>
      <w:r w:rsidRPr="000A3577">
        <w:rPr>
          <w:sz w:val="21"/>
          <w:szCs w:val="22"/>
        </w:rPr>
        <w:tab/>
        <w:t>S. Grimme, J. Antony, S. Ehrlich, H. Krieg</w:t>
      </w:r>
      <w:r w:rsidRPr="000A3577">
        <w:rPr>
          <w:rFonts w:hint="eastAsia"/>
          <w:sz w:val="21"/>
          <w:szCs w:val="22"/>
        </w:rPr>
        <w:t>,</w:t>
      </w:r>
      <w:r w:rsidRPr="000A3577">
        <w:rPr>
          <w:sz w:val="21"/>
          <w:szCs w:val="22"/>
        </w:rPr>
        <w:t xml:space="preserve"> A consistent and accurate ab initio parametrization of density functional dispersion correction (DFT-D) for the 94 elements H-Pu. The Journal of Chemical Physics, 2010, 132(15), 154104.</w:t>
      </w:r>
    </w:p>
    <w:p w14:paraId="3DF7AD09" w14:textId="2CE4728F" w:rsidR="000A3577" w:rsidRPr="000A3577" w:rsidRDefault="000A3577" w:rsidP="005C1002">
      <w:pPr>
        <w:spacing w:after="0" w:line="360" w:lineRule="auto"/>
        <w:ind w:left="420" w:hangingChars="200" w:hanging="420"/>
        <w:jc w:val="both"/>
        <w:rPr>
          <w:sz w:val="21"/>
          <w:szCs w:val="22"/>
        </w:rPr>
      </w:pPr>
      <w:r w:rsidRPr="000A3577">
        <w:rPr>
          <w:sz w:val="21"/>
          <w:szCs w:val="22"/>
        </w:rPr>
        <w:t xml:space="preserve">[4] B. </w:t>
      </w:r>
      <w:proofErr w:type="spellStart"/>
      <w:r w:rsidRPr="000A3577">
        <w:rPr>
          <w:sz w:val="21"/>
          <w:szCs w:val="22"/>
        </w:rPr>
        <w:t>Delley</w:t>
      </w:r>
      <w:proofErr w:type="spellEnd"/>
      <w:r w:rsidRPr="000A3577">
        <w:rPr>
          <w:sz w:val="21"/>
          <w:szCs w:val="22"/>
        </w:rPr>
        <w:t xml:space="preserve">, Hardness Conserving </w:t>
      </w:r>
      <w:proofErr w:type="spellStart"/>
      <w:r w:rsidRPr="000A3577">
        <w:rPr>
          <w:sz w:val="21"/>
          <w:szCs w:val="22"/>
        </w:rPr>
        <w:t>Semilocal</w:t>
      </w:r>
      <w:proofErr w:type="spellEnd"/>
      <w:r w:rsidRPr="000A3577">
        <w:rPr>
          <w:sz w:val="21"/>
          <w:szCs w:val="22"/>
        </w:rPr>
        <w:t xml:space="preserve"> Pseudopotentials. Physical Review B 2002, 66 (15), 155125.</w:t>
      </w:r>
    </w:p>
    <w:p w14:paraId="52E6E705" w14:textId="77777777" w:rsidR="000A3577" w:rsidRPr="000A3577" w:rsidRDefault="000A3577"/>
    <w:sectPr w:rsidR="000A3577" w:rsidRPr="000A3577" w:rsidSect="00887DA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0E9C6" w14:textId="77777777" w:rsidR="001D3CE5" w:rsidRDefault="001D3CE5" w:rsidP="00FC1245">
      <w:pPr>
        <w:spacing w:after="0" w:line="240" w:lineRule="auto"/>
      </w:pPr>
      <w:r>
        <w:separator/>
      </w:r>
    </w:p>
  </w:endnote>
  <w:endnote w:type="continuationSeparator" w:id="0">
    <w:p w14:paraId="40BD6CB2" w14:textId="77777777" w:rsidR="001D3CE5" w:rsidRDefault="001D3CE5" w:rsidP="00FC1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73301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18CCB4E" w14:textId="77A1A0F9" w:rsidR="00A126FC" w:rsidRPr="00A126FC" w:rsidRDefault="00A126FC">
        <w:pPr>
          <w:pStyle w:val="a5"/>
          <w:jc w:val="center"/>
          <w:rPr>
            <w:rFonts w:ascii="Times New Roman" w:hAnsi="Times New Roman" w:cs="Times New Roman"/>
          </w:rPr>
        </w:pPr>
        <w:r w:rsidRPr="00A126FC">
          <w:rPr>
            <w:rFonts w:ascii="Times New Roman" w:hAnsi="Times New Roman" w:cs="Times New Roman"/>
          </w:rPr>
          <w:fldChar w:fldCharType="begin"/>
        </w:r>
        <w:r w:rsidRPr="00A126FC">
          <w:rPr>
            <w:rFonts w:ascii="Times New Roman" w:hAnsi="Times New Roman" w:cs="Times New Roman"/>
          </w:rPr>
          <w:instrText>PAGE   \* MERGEFORMAT</w:instrText>
        </w:r>
        <w:r w:rsidRPr="00A126FC">
          <w:rPr>
            <w:rFonts w:ascii="Times New Roman" w:hAnsi="Times New Roman" w:cs="Times New Roman"/>
          </w:rPr>
          <w:fldChar w:fldCharType="separate"/>
        </w:r>
        <w:r w:rsidRPr="00A126FC">
          <w:rPr>
            <w:rFonts w:ascii="Times New Roman" w:hAnsi="Times New Roman" w:cs="Times New Roman"/>
            <w:lang w:val="zh-CN"/>
          </w:rPr>
          <w:t>2</w:t>
        </w:r>
        <w:r w:rsidRPr="00A126FC">
          <w:rPr>
            <w:rFonts w:ascii="Times New Roman" w:hAnsi="Times New Roman" w:cs="Times New Roman"/>
          </w:rPr>
          <w:fldChar w:fldCharType="end"/>
        </w:r>
      </w:p>
    </w:sdtContent>
  </w:sdt>
  <w:p w14:paraId="242CD37D" w14:textId="77777777" w:rsidR="00A126FC" w:rsidRDefault="00A126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855A" w14:textId="77777777" w:rsidR="001D3CE5" w:rsidRDefault="001D3CE5" w:rsidP="00FC1245">
      <w:pPr>
        <w:spacing w:after="0" w:line="240" w:lineRule="auto"/>
      </w:pPr>
      <w:r>
        <w:separator/>
      </w:r>
    </w:p>
  </w:footnote>
  <w:footnote w:type="continuationSeparator" w:id="0">
    <w:p w14:paraId="0D87311A" w14:textId="77777777" w:rsidR="001D3CE5" w:rsidRDefault="001D3CE5" w:rsidP="00FC1245">
      <w:pPr>
        <w:spacing w:after="0" w:line="240" w:lineRule="auto"/>
      </w:pPr>
      <w:r>
        <w:continuationSeparator/>
      </w:r>
    </w:p>
  </w:footnote>
  <w:footnote w:id="1">
    <w:p w14:paraId="4E88B078" w14:textId="6E8D86C4" w:rsidR="0047232F" w:rsidRDefault="0047232F">
      <w:pPr>
        <w:pStyle w:val="a8"/>
      </w:pPr>
      <w:r>
        <w:rPr>
          <w:rStyle w:val="aa"/>
        </w:rPr>
        <w:footnoteRef/>
      </w:r>
      <w:r>
        <w:t xml:space="preserve"> </w:t>
      </w:r>
      <w:r w:rsidRPr="00855868">
        <w:rPr>
          <w:sz w:val="21"/>
          <w:szCs w:val="21"/>
        </w:rPr>
        <w:t>E-mail:</w:t>
      </w:r>
      <w:r>
        <w:rPr>
          <w:sz w:val="21"/>
          <w:szCs w:val="21"/>
        </w:rPr>
        <w:t xml:space="preserve"> fengrui@cumt.edu.cn</w:t>
      </w:r>
    </w:p>
  </w:footnote>
  <w:footnote w:id="2">
    <w:p w14:paraId="53217C48" w14:textId="4D44B0C8" w:rsidR="0047232F" w:rsidRDefault="0047232F">
      <w:pPr>
        <w:pStyle w:val="a8"/>
      </w:pPr>
      <w:r>
        <w:rPr>
          <w:rStyle w:val="aa"/>
        </w:rPr>
        <w:footnoteRef/>
      </w:r>
      <w:r>
        <w:t xml:space="preserve"> </w:t>
      </w:r>
      <w:r w:rsidRPr="00855868">
        <w:rPr>
          <w:sz w:val="21"/>
          <w:szCs w:val="21"/>
        </w:rPr>
        <w:t>E-mail:</w:t>
      </w:r>
      <w:r>
        <w:rPr>
          <w:sz w:val="21"/>
          <w:szCs w:val="21"/>
        </w:rPr>
        <w:t xml:space="preserve"> lushijian@cumt.edu.cn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F4B"/>
    <w:rsid w:val="00097F36"/>
    <w:rsid w:val="000A3577"/>
    <w:rsid w:val="00175DE0"/>
    <w:rsid w:val="001A5448"/>
    <w:rsid w:val="001D3CE5"/>
    <w:rsid w:val="002A2B56"/>
    <w:rsid w:val="0047232F"/>
    <w:rsid w:val="0049091F"/>
    <w:rsid w:val="004B3093"/>
    <w:rsid w:val="00541712"/>
    <w:rsid w:val="005C1002"/>
    <w:rsid w:val="005D591F"/>
    <w:rsid w:val="006C18C1"/>
    <w:rsid w:val="00853FC9"/>
    <w:rsid w:val="00887DA0"/>
    <w:rsid w:val="008D7C2C"/>
    <w:rsid w:val="00A126FC"/>
    <w:rsid w:val="00C73EDB"/>
    <w:rsid w:val="00DC36C9"/>
    <w:rsid w:val="00F062EF"/>
    <w:rsid w:val="00F72F4B"/>
    <w:rsid w:val="00FC1245"/>
    <w:rsid w:val="00FE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5A43D"/>
  <w15:chartTrackingRefBased/>
  <w15:docId w15:val="{7233708C-707F-4777-843F-F296D8C1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245"/>
    <w:pPr>
      <w:widowControl w:val="0"/>
      <w:spacing w:after="160" w:line="278" w:lineRule="auto"/>
    </w:pPr>
    <w:rPr>
      <w:rFonts w:ascii="Times New Roman" w:eastAsia="宋体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12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1245"/>
    <w:pPr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1245"/>
    <w:rPr>
      <w:sz w:val="18"/>
      <w:szCs w:val="18"/>
    </w:rPr>
  </w:style>
  <w:style w:type="character" w:styleId="a7">
    <w:name w:val="Hyperlink"/>
    <w:basedOn w:val="a0"/>
    <w:qFormat/>
    <w:rsid w:val="00FC1245"/>
    <w:rPr>
      <w:color w:val="0000FF"/>
      <w:u w:val="single"/>
    </w:rPr>
  </w:style>
  <w:style w:type="paragraph" w:styleId="a8">
    <w:name w:val="footnote text"/>
    <w:basedOn w:val="a"/>
    <w:link w:val="a9"/>
    <w:rsid w:val="00FC1245"/>
    <w:pPr>
      <w:snapToGrid w:val="0"/>
    </w:pPr>
    <w:rPr>
      <w:sz w:val="18"/>
      <w:szCs w:val="18"/>
    </w:rPr>
  </w:style>
  <w:style w:type="character" w:customStyle="1" w:styleId="a9">
    <w:name w:val="脚注文本 字符"/>
    <w:basedOn w:val="a0"/>
    <w:link w:val="a8"/>
    <w:rsid w:val="00FC1245"/>
    <w:rPr>
      <w:rFonts w:ascii="Times New Roman" w:eastAsia="宋体" w:hAnsi="Times New Roman" w:cs="Times New Roman"/>
      <w:sz w:val="18"/>
      <w:szCs w:val="18"/>
    </w:rPr>
  </w:style>
  <w:style w:type="character" w:styleId="aa">
    <w:name w:val="footnote reference"/>
    <w:basedOn w:val="a0"/>
    <w:rsid w:val="00FC1245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47232F"/>
    <w:pPr>
      <w:snapToGrid w:val="0"/>
    </w:pPr>
  </w:style>
  <w:style w:type="character" w:customStyle="1" w:styleId="ac">
    <w:name w:val="尾注文本 字符"/>
    <w:basedOn w:val="a0"/>
    <w:link w:val="ab"/>
    <w:uiPriority w:val="99"/>
    <w:semiHidden/>
    <w:rsid w:val="0047232F"/>
    <w:rPr>
      <w:rFonts w:ascii="Times New Roman" w:eastAsia="宋体" w:hAnsi="Times New Roman" w:cs="Times New Roman"/>
      <w:sz w:val="22"/>
      <w:szCs w:val="24"/>
    </w:rPr>
  </w:style>
  <w:style w:type="character" w:styleId="ad">
    <w:name w:val="endnote reference"/>
    <w:basedOn w:val="a0"/>
    <w:uiPriority w:val="99"/>
    <w:semiHidden/>
    <w:unhideWhenUsed/>
    <w:rsid w:val="0047232F"/>
    <w:rPr>
      <w:vertAlign w:val="superscript"/>
    </w:rPr>
  </w:style>
  <w:style w:type="character" w:styleId="ae">
    <w:name w:val="Unresolved Mention"/>
    <w:basedOn w:val="a0"/>
    <w:uiPriority w:val="99"/>
    <w:semiHidden/>
    <w:unhideWhenUsed/>
    <w:rsid w:val="0047232F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FE0C1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BBD7B-3EB2-42A8-BE14-9831CEBF6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F</dc:creator>
  <cp:keywords/>
  <dc:description/>
  <cp:lastModifiedBy>Rui F</cp:lastModifiedBy>
  <cp:revision>24</cp:revision>
  <dcterms:created xsi:type="dcterms:W3CDTF">2025-12-26T03:38:00Z</dcterms:created>
  <dcterms:modified xsi:type="dcterms:W3CDTF">2025-12-29T16:38:00Z</dcterms:modified>
</cp:coreProperties>
</file>